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3AFB0" w14:textId="77777777" w:rsidR="00C63802" w:rsidRPr="000433D1" w:rsidRDefault="00C63802" w:rsidP="00814281">
      <w:pPr>
        <w:spacing w:after="0" w:line="240" w:lineRule="auto"/>
        <w:ind w:left="720" w:hanging="360"/>
        <w:jc w:val="both"/>
        <w:rPr>
          <w:rFonts w:ascii="Times New Roman" w:hAnsi="Times New Roman" w:cs="Times New Roman"/>
          <w:sz w:val="24"/>
          <w:szCs w:val="24"/>
        </w:rPr>
      </w:pPr>
    </w:p>
    <w:p w14:paraId="1EB4B496" w14:textId="77777777" w:rsidR="00C63802" w:rsidRPr="000433D1" w:rsidRDefault="00C63802" w:rsidP="00814281">
      <w:pPr>
        <w:spacing w:after="0" w:line="240" w:lineRule="auto"/>
        <w:ind w:left="720" w:hanging="360"/>
        <w:jc w:val="both"/>
        <w:rPr>
          <w:rFonts w:ascii="Book Antiqua" w:hAnsi="Book Antiqua" w:cs="Times New Roman"/>
          <w:sz w:val="24"/>
          <w:szCs w:val="24"/>
        </w:rPr>
      </w:pPr>
    </w:p>
    <w:p w14:paraId="7C2CC56B" w14:textId="6CC8E43E" w:rsidR="00C63802" w:rsidRPr="000433D1" w:rsidRDefault="00C63802" w:rsidP="00C63802">
      <w:pPr>
        <w:spacing w:after="0"/>
        <w:jc w:val="center"/>
        <w:textAlignment w:val="baseline"/>
        <w:rPr>
          <w:rFonts w:ascii="Book Antiqua" w:hAnsi="Book Antiqua"/>
          <w:b/>
          <w:sz w:val="24"/>
          <w:szCs w:val="24"/>
        </w:rPr>
      </w:pPr>
      <w:r w:rsidRPr="000433D1">
        <w:rPr>
          <w:rFonts w:ascii="Book Antiqua" w:hAnsi="Book Antiqua"/>
          <w:b/>
          <w:sz w:val="24"/>
          <w:szCs w:val="24"/>
        </w:rPr>
        <w:t xml:space="preserve">INFORME DE PONENCIA POSITIVA PARA PRIMER DEBATE AL PROYECTO LEY ORGANICA </w:t>
      </w:r>
      <w:r w:rsidR="00442BAA">
        <w:rPr>
          <w:rFonts w:ascii="Book Antiqua" w:hAnsi="Book Antiqua"/>
          <w:b/>
          <w:sz w:val="24"/>
          <w:szCs w:val="24"/>
        </w:rPr>
        <w:t>No.</w:t>
      </w:r>
      <w:r w:rsidRPr="000433D1">
        <w:rPr>
          <w:rFonts w:ascii="Book Antiqua" w:hAnsi="Book Antiqua"/>
          <w:b/>
          <w:sz w:val="24"/>
          <w:szCs w:val="24"/>
        </w:rPr>
        <w:t xml:space="preserve"> 155 DE 2022 CÁMARA</w:t>
      </w:r>
    </w:p>
    <w:p w14:paraId="03804556" w14:textId="77777777" w:rsidR="00C63802" w:rsidRPr="000433D1" w:rsidRDefault="00C63802" w:rsidP="00814281">
      <w:pPr>
        <w:spacing w:after="0" w:line="240" w:lineRule="auto"/>
        <w:ind w:left="720" w:hanging="360"/>
        <w:jc w:val="both"/>
        <w:rPr>
          <w:rFonts w:ascii="Book Antiqua" w:hAnsi="Book Antiqua" w:cs="Times New Roman"/>
          <w:sz w:val="24"/>
          <w:szCs w:val="24"/>
        </w:rPr>
      </w:pPr>
    </w:p>
    <w:p w14:paraId="2ACFAD01" w14:textId="77777777" w:rsidR="00C63802" w:rsidRPr="000433D1" w:rsidRDefault="00C63802" w:rsidP="00AB0B68">
      <w:pPr>
        <w:spacing w:after="0" w:line="240" w:lineRule="auto"/>
        <w:ind w:left="360" w:hanging="360"/>
        <w:jc w:val="both"/>
        <w:rPr>
          <w:rFonts w:ascii="Book Antiqua" w:hAnsi="Book Antiqua" w:cs="Times New Roman"/>
          <w:sz w:val="24"/>
          <w:szCs w:val="24"/>
        </w:rPr>
      </w:pPr>
    </w:p>
    <w:p w14:paraId="14FBD397" w14:textId="143E4616" w:rsidR="00814281" w:rsidRDefault="00814281" w:rsidP="00AB0B68">
      <w:pPr>
        <w:spacing w:after="0" w:line="240" w:lineRule="auto"/>
        <w:ind w:left="360" w:hanging="360"/>
        <w:jc w:val="both"/>
        <w:rPr>
          <w:rFonts w:ascii="Book Antiqua" w:hAnsi="Book Antiqua" w:cs="Times New Roman"/>
          <w:sz w:val="24"/>
          <w:szCs w:val="24"/>
        </w:rPr>
      </w:pPr>
      <w:r w:rsidRPr="000433D1">
        <w:rPr>
          <w:rFonts w:ascii="Book Antiqua" w:hAnsi="Book Antiqua" w:cs="Times New Roman"/>
          <w:sz w:val="24"/>
          <w:szCs w:val="24"/>
        </w:rPr>
        <w:t xml:space="preserve">Bogotá D.C. </w:t>
      </w:r>
      <w:r w:rsidR="0017449A">
        <w:rPr>
          <w:rFonts w:ascii="Book Antiqua" w:hAnsi="Book Antiqua" w:cs="Times New Roman"/>
          <w:sz w:val="24"/>
          <w:szCs w:val="24"/>
        </w:rPr>
        <w:t>7</w:t>
      </w:r>
      <w:r w:rsidR="000E155E" w:rsidRPr="000433D1">
        <w:rPr>
          <w:rFonts w:ascii="Book Antiqua" w:hAnsi="Book Antiqua" w:cs="Times New Roman"/>
          <w:sz w:val="24"/>
          <w:szCs w:val="24"/>
        </w:rPr>
        <w:t xml:space="preserve"> de diciembre</w:t>
      </w:r>
      <w:r w:rsidRPr="000433D1">
        <w:rPr>
          <w:rFonts w:ascii="Book Antiqua" w:hAnsi="Book Antiqua" w:cs="Times New Roman"/>
          <w:sz w:val="24"/>
          <w:szCs w:val="24"/>
        </w:rPr>
        <w:t xml:space="preserve"> de 2022</w:t>
      </w:r>
    </w:p>
    <w:p w14:paraId="19D3E2FE" w14:textId="77777777" w:rsidR="000433D1" w:rsidRPr="000433D1" w:rsidRDefault="000433D1" w:rsidP="00AB0B68">
      <w:pPr>
        <w:spacing w:after="0" w:line="240" w:lineRule="auto"/>
        <w:ind w:left="360" w:hanging="360"/>
        <w:jc w:val="both"/>
        <w:rPr>
          <w:rFonts w:ascii="Book Antiqua" w:hAnsi="Book Antiqua" w:cs="Times New Roman"/>
          <w:sz w:val="24"/>
          <w:szCs w:val="24"/>
        </w:rPr>
      </w:pPr>
    </w:p>
    <w:p w14:paraId="00536F4D" w14:textId="1BE188A9" w:rsidR="00814281" w:rsidRPr="000433D1" w:rsidRDefault="00814281" w:rsidP="00AB0B68">
      <w:pPr>
        <w:spacing w:after="0" w:line="240" w:lineRule="auto"/>
        <w:ind w:left="360" w:hanging="360"/>
        <w:jc w:val="both"/>
        <w:rPr>
          <w:rFonts w:ascii="Book Antiqua" w:hAnsi="Book Antiqua" w:cs="Times New Roman"/>
          <w:sz w:val="24"/>
          <w:szCs w:val="24"/>
        </w:rPr>
      </w:pPr>
    </w:p>
    <w:p w14:paraId="36446AE7" w14:textId="11798596" w:rsidR="00814281" w:rsidRPr="000433D1" w:rsidRDefault="00814281" w:rsidP="00AB0B68">
      <w:pPr>
        <w:spacing w:after="0" w:line="240" w:lineRule="auto"/>
        <w:ind w:left="360" w:hanging="360"/>
        <w:jc w:val="both"/>
        <w:rPr>
          <w:rFonts w:ascii="Book Antiqua" w:hAnsi="Book Antiqua" w:cs="Times New Roman"/>
          <w:sz w:val="24"/>
          <w:szCs w:val="24"/>
        </w:rPr>
      </w:pPr>
      <w:r w:rsidRPr="000433D1">
        <w:rPr>
          <w:rFonts w:ascii="Book Antiqua" w:hAnsi="Book Antiqua" w:cs="Times New Roman"/>
          <w:sz w:val="24"/>
          <w:szCs w:val="24"/>
        </w:rPr>
        <w:t xml:space="preserve">Honorable Presidente </w:t>
      </w:r>
    </w:p>
    <w:p w14:paraId="15B5CABC" w14:textId="77777777" w:rsidR="000E155E" w:rsidRPr="000433D1" w:rsidRDefault="000E155E" w:rsidP="00AB0B68">
      <w:pPr>
        <w:spacing w:after="0" w:line="240" w:lineRule="auto"/>
        <w:ind w:left="360" w:hanging="360"/>
        <w:jc w:val="both"/>
        <w:rPr>
          <w:rFonts w:ascii="Book Antiqua" w:hAnsi="Book Antiqua" w:cs="Times New Roman"/>
          <w:b/>
          <w:bCs/>
          <w:sz w:val="24"/>
          <w:szCs w:val="24"/>
        </w:rPr>
      </w:pPr>
      <w:r w:rsidRPr="000433D1">
        <w:rPr>
          <w:rFonts w:ascii="Book Antiqua" w:hAnsi="Book Antiqua" w:cs="Times New Roman"/>
          <w:b/>
          <w:bCs/>
          <w:sz w:val="24"/>
          <w:szCs w:val="24"/>
        </w:rPr>
        <w:t>JUAN CARLOS WILLS OSPINA</w:t>
      </w:r>
    </w:p>
    <w:p w14:paraId="7A2F5DC9" w14:textId="77777777" w:rsidR="000E155E" w:rsidRPr="000433D1" w:rsidRDefault="000E155E" w:rsidP="00AB0B68">
      <w:pPr>
        <w:spacing w:after="0" w:line="240" w:lineRule="auto"/>
        <w:ind w:left="360" w:hanging="360"/>
        <w:jc w:val="both"/>
        <w:rPr>
          <w:rFonts w:ascii="Book Antiqua" w:hAnsi="Book Antiqua" w:cs="Times New Roman"/>
          <w:b/>
          <w:bCs/>
          <w:sz w:val="24"/>
          <w:szCs w:val="24"/>
        </w:rPr>
      </w:pPr>
      <w:r w:rsidRPr="000433D1">
        <w:rPr>
          <w:rFonts w:ascii="Book Antiqua" w:hAnsi="Book Antiqua" w:cs="Times New Roman"/>
          <w:b/>
          <w:bCs/>
          <w:sz w:val="24"/>
          <w:szCs w:val="24"/>
        </w:rPr>
        <w:t xml:space="preserve">Presidente </w:t>
      </w:r>
    </w:p>
    <w:p w14:paraId="062DCE43" w14:textId="77777777" w:rsidR="000E155E" w:rsidRPr="000433D1" w:rsidRDefault="000E155E" w:rsidP="00AB0B68">
      <w:pPr>
        <w:spacing w:after="0" w:line="240" w:lineRule="auto"/>
        <w:ind w:left="360" w:hanging="360"/>
        <w:jc w:val="both"/>
        <w:rPr>
          <w:rFonts w:ascii="Book Antiqua" w:hAnsi="Book Antiqua" w:cs="Times New Roman"/>
          <w:b/>
          <w:bCs/>
          <w:sz w:val="24"/>
          <w:szCs w:val="24"/>
        </w:rPr>
      </w:pPr>
      <w:r w:rsidRPr="000433D1">
        <w:rPr>
          <w:rFonts w:ascii="Book Antiqua" w:hAnsi="Book Antiqua" w:cs="Times New Roman"/>
          <w:b/>
          <w:bCs/>
          <w:sz w:val="24"/>
          <w:szCs w:val="24"/>
        </w:rPr>
        <w:t>Comisión Primera Constitucional</w:t>
      </w:r>
    </w:p>
    <w:p w14:paraId="54A2D836" w14:textId="264EA14E" w:rsidR="006938E4" w:rsidRPr="000433D1" w:rsidRDefault="000E155E" w:rsidP="00AB0B68">
      <w:pPr>
        <w:spacing w:after="0" w:line="240" w:lineRule="auto"/>
        <w:ind w:left="360" w:hanging="360"/>
        <w:jc w:val="both"/>
        <w:rPr>
          <w:rFonts w:ascii="Book Antiqua" w:hAnsi="Book Antiqua" w:cs="Times New Roman"/>
          <w:b/>
          <w:bCs/>
          <w:sz w:val="24"/>
          <w:szCs w:val="24"/>
        </w:rPr>
      </w:pPr>
      <w:r w:rsidRPr="000433D1">
        <w:rPr>
          <w:rFonts w:ascii="Book Antiqua" w:hAnsi="Book Antiqua" w:cs="Times New Roman"/>
          <w:b/>
          <w:bCs/>
          <w:sz w:val="24"/>
          <w:szCs w:val="24"/>
        </w:rPr>
        <w:t>Cámara de Representantes</w:t>
      </w:r>
    </w:p>
    <w:p w14:paraId="27A3502D" w14:textId="1732FE3A" w:rsidR="006938E4" w:rsidRPr="000433D1" w:rsidRDefault="006938E4" w:rsidP="00AB0B68">
      <w:pPr>
        <w:spacing w:after="0" w:line="240" w:lineRule="auto"/>
        <w:jc w:val="both"/>
        <w:rPr>
          <w:rFonts w:ascii="Book Antiqua" w:hAnsi="Book Antiqua" w:cs="Times New Roman"/>
          <w:b/>
          <w:bCs/>
          <w:sz w:val="24"/>
          <w:szCs w:val="24"/>
        </w:rPr>
      </w:pPr>
    </w:p>
    <w:p w14:paraId="408C763C" w14:textId="3008F7CF" w:rsidR="00814281" w:rsidRPr="000433D1" w:rsidRDefault="000E155E" w:rsidP="00AB0B68">
      <w:pPr>
        <w:spacing w:after="0" w:line="240" w:lineRule="auto"/>
        <w:jc w:val="both"/>
        <w:rPr>
          <w:rFonts w:ascii="Book Antiqua" w:hAnsi="Book Antiqua" w:cs="Times New Roman"/>
          <w:b/>
          <w:bCs/>
          <w:sz w:val="24"/>
          <w:szCs w:val="24"/>
        </w:rPr>
      </w:pPr>
      <w:r w:rsidRPr="000433D1">
        <w:rPr>
          <w:rFonts w:ascii="Book Antiqua" w:hAnsi="Book Antiqua" w:cs="Times New Roman"/>
          <w:b/>
          <w:bCs/>
          <w:sz w:val="24"/>
          <w:szCs w:val="24"/>
        </w:rPr>
        <w:t xml:space="preserve">Asunto: Informe de Ponencia POSITIVA para primer debate al </w:t>
      </w:r>
      <w:r w:rsidR="00814281" w:rsidRPr="000433D1">
        <w:rPr>
          <w:rFonts w:ascii="Book Antiqua" w:hAnsi="Book Antiqua" w:cs="Times New Roman"/>
          <w:b/>
          <w:bCs/>
          <w:sz w:val="24"/>
          <w:szCs w:val="24"/>
        </w:rPr>
        <w:t>Proyecto de Ley</w:t>
      </w:r>
      <w:r w:rsidR="00057192" w:rsidRPr="000433D1">
        <w:rPr>
          <w:rFonts w:ascii="Book Antiqua" w:hAnsi="Book Antiqua" w:cs="Times New Roman"/>
          <w:b/>
          <w:bCs/>
          <w:sz w:val="24"/>
          <w:szCs w:val="24"/>
        </w:rPr>
        <w:t xml:space="preserve"> </w:t>
      </w:r>
      <w:r w:rsidR="00551BC9" w:rsidRPr="000433D1">
        <w:rPr>
          <w:rFonts w:ascii="Book Antiqua" w:hAnsi="Book Antiqua" w:cs="Times New Roman"/>
          <w:b/>
          <w:bCs/>
          <w:sz w:val="24"/>
          <w:szCs w:val="24"/>
        </w:rPr>
        <w:t>Orgánica N</w:t>
      </w:r>
      <w:r w:rsidR="00814281" w:rsidRPr="000433D1">
        <w:rPr>
          <w:rFonts w:ascii="Book Antiqua" w:hAnsi="Book Antiqua" w:cs="Times New Roman"/>
          <w:b/>
          <w:bCs/>
          <w:sz w:val="24"/>
          <w:szCs w:val="24"/>
        </w:rPr>
        <w:t>°</w:t>
      </w:r>
      <w:r w:rsidRPr="000433D1">
        <w:rPr>
          <w:rFonts w:ascii="Book Antiqua" w:hAnsi="Book Antiqua" w:cs="Times New Roman"/>
          <w:b/>
          <w:bCs/>
          <w:sz w:val="24"/>
          <w:szCs w:val="24"/>
        </w:rPr>
        <w:t>155</w:t>
      </w:r>
      <w:r w:rsidR="00814281" w:rsidRPr="000433D1">
        <w:rPr>
          <w:rFonts w:ascii="Book Antiqua" w:hAnsi="Book Antiqua" w:cs="Times New Roman"/>
          <w:b/>
          <w:bCs/>
          <w:sz w:val="24"/>
          <w:szCs w:val="24"/>
        </w:rPr>
        <w:t xml:space="preserve"> de 2022 </w:t>
      </w:r>
      <w:r w:rsidR="008F0E19">
        <w:rPr>
          <w:rFonts w:ascii="Book Antiqua" w:hAnsi="Book Antiqua" w:cs="Times New Roman"/>
          <w:b/>
          <w:bCs/>
          <w:sz w:val="24"/>
          <w:szCs w:val="24"/>
        </w:rPr>
        <w:t>Cámara</w:t>
      </w:r>
      <w:r w:rsidR="008F0E19" w:rsidRPr="000433D1">
        <w:rPr>
          <w:rFonts w:ascii="Book Antiqua" w:hAnsi="Book Antiqua" w:cs="Times New Roman"/>
          <w:b/>
          <w:bCs/>
          <w:sz w:val="24"/>
          <w:szCs w:val="24"/>
        </w:rPr>
        <w:t xml:space="preserve"> “</w:t>
      </w:r>
      <w:r w:rsidR="00814281" w:rsidRPr="000433D1">
        <w:rPr>
          <w:rFonts w:ascii="Book Antiqua" w:hAnsi="Book Antiqua" w:cs="Times New Roman"/>
          <w:b/>
          <w:bCs/>
          <w:i/>
          <w:iCs/>
          <w:sz w:val="24"/>
          <w:szCs w:val="24"/>
        </w:rPr>
        <w:t xml:space="preserve">Por medio de la cual se designa a las autoridades territoriales para que definan sobre la realización de las prácticas taurinas en su </w:t>
      </w:r>
      <w:r w:rsidR="0080597F" w:rsidRPr="000433D1">
        <w:rPr>
          <w:rFonts w:ascii="Book Antiqua" w:hAnsi="Book Antiqua" w:cs="Times New Roman"/>
          <w:b/>
          <w:bCs/>
          <w:i/>
          <w:iCs/>
          <w:sz w:val="24"/>
          <w:szCs w:val="24"/>
        </w:rPr>
        <w:t>territorio</w:t>
      </w:r>
      <w:r w:rsidR="00814281" w:rsidRPr="000433D1">
        <w:rPr>
          <w:rFonts w:ascii="Book Antiqua" w:hAnsi="Book Antiqua" w:cs="Times New Roman"/>
          <w:b/>
          <w:bCs/>
          <w:i/>
          <w:iCs/>
          <w:sz w:val="24"/>
          <w:szCs w:val="24"/>
        </w:rPr>
        <w:t xml:space="preserve"> y se dictan otras disposiciones.</w:t>
      </w:r>
      <w:r w:rsidR="00814281" w:rsidRPr="000433D1">
        <w:rPr>
          <w:rFonts w:ascii="Book Antiqua" w:hAnsi="Book Antiqua" w:cs="Times New Roman"/>
          <w:b/>
          <w:bCs/>
          <w:sz w:val="24"/>
          <w:szCs w:val="24"/>
        </w:rPr>
        <w:t>”</w:t>
      </w:r>
    </w:p>
    <w:p w14:paraId="406354CF" w14:textId="3DB95314" w:rsidR="00814281" w:rsidRPr="000433D1" w:rsidRDefault="00814281" w:rsidP="00AB0B68">
      <w:pPr>
        <w:spacing w:after="0" w:line="240" w:lineRule="auto"/>
        <w:jc w:val="both"/>
        <w:rPr>
          <w:rFonts w:ascii="Book Antiqua" w:hAnsi="Book Antiqua" w:cs="Times New Roman"/>
          <w:sz w:val="24"/>
          <w:szCs w:val="24"/>
        </w:rPr>
      </w:pPr>
    </w:p>
    <w:p w14:paraId="09B503DB" w14:textId="774A31CC" w:rsidR="00814281" w:rsidRPr="000433D1" w:rsidRDefault="00AB0B68" w:rsidP="00AB0B68">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Honorables Representantes</w:t>
      </w:r>
      <w:r w:rsidR="00814281" w:rsidRPr="000433D1">
        <w:rPr>
          <w:rFonts w:ascii="Book Antiqua" w:hAnsi="Book Antiqua" w:cs="Times New Roman"/>
          <w:sz w:val="24"/>
          <w:szCs w:val="24"/>
        </w:rPr>
        <w:t>,</w:t>
      </w:r>
    </w:p>
    <w:p w14:paraId="74655006" w14:textId="6DBBEC30" w:rsidR="00AB0B68" w:rsidRPr="000433D1" w:rsidRDefault="00AB0B68" w:rsidP="00AB0B68">
      <w:pPr>
        <w:spacing w:after="0" w:line="240" w:lineRule="auto"/>
        <w:ind w:left="348"/>
        <w:jc w:val="both"/>
        <w:rPr>
          <w:rFonts w:ascii="Book Antiqua" w:hAnsi="Book Antiqua" w:cs="Times New Roman"/>
          <w:sz w:val="24"/>
          <w:szCs w:val="24"/>
        </w:rPr>
      </w:pPr>
    </w:p>
    <w:p w14:paraId="6B07F8A2" w14:textId="0A41BC82" w:rsidR="00AB0B68" w:rsidRPr="000433D1" w:rsidRDefault="00AB0B68" w:rsidP="00AB0B68">
      <w:pPr>
        <w:spacing w:after="0" w:line="240" w:lineRule="auto"/>
        <w:jc w:val="both"/>
        <w:rPr>
          <w:rFonts w:ascii="Book Antiqua" w:hAnsi="Book Antiqua" w:cs="Times New Roman"/>
          <w:b/>
          <w:bCs/>
          <w:sz w:val="24"/>
          <w:szCs w:val="24"/>
        </w:rPr>
      </w:pPr>
      <w:r w:rsidRPr="000433D1">
        <w:rPr>
          <w:rFonts w:ascii="Book Antiqua" w:hAnsi="Book Antiqua"/>
          <w:sz w:val="24"/>
          <w:szCs w:val="24"/>
        </w:rPr>
        <w:t xml:space="preserve">En cumplimiento del encargo hecho por la Honorable Mesa Directiva de la Comisión Primera Constitucional de la Cámara de Representantes del Congreso de la República y de conformidad con lo establecido en el artículo 156 de la ley 5ª de 1992, nos permitidos rendir informe de Ponencia POSITIVA para primer debate al </w:t>
      </w:r>
      <w:r w:rsidRPr="000433D1">
        <w:rPr>
          <w:rFonts w:ascii="Book Antiqua" w:hAnsi="Book Antiqua" w:cs="Times New Roman"/>
          <w:b/>
          <w:bCs/>
          <w:sz w:val="24"/>
          <w:szCs w:val="24"/>
        </w:rPr>
        <w:t xml:space="preserve">Proyecto de Ley Orgánica N°155 de 2022 </w:t>
      </w:r>
      <w:r w:rsidR="008F0E19">
        <w:rPr>
          <w:rFonts w:ascii="Book Antiqua" w:hAnsi="Book Antiqua" w:cs="Times New Roman"/>
          <w:b/>
          <w:bCs/>
          <w:sz w:val="24"/>
          <w:szCs w:val="24"/>
        </w:rPr>
        <w:t xml:space="preserve">Cámara </w:t>
      </w:r>
      <w:r w:rsidRPr="000433D1">
        <w:rPr>
          <w:rFonts w:ascii="Book Antiqua" w:hAnsi="Book Antiqua" w:cs="Times New Roman"/>
          <w:b/>
          <w:bCs/>
          <w:sz w:val="24"/>
          <w:szCs w:val="24"/>
        </w:rPr>
        <w:t>“</w:t>
      </w:r>
      <w:r w:rsidRPr="000433D1">
        <w:rPr>
          <w:rFonts w:ascii="Book Antiqua" w:hAnsi="Book Antiqua" w:cs="Times New Roman"/>
          <w:b/>
          <w:bCs/>
          <w:i/>
          <w:iCs/>
          <w:sz w:val="24"/>
          <w:szCs w:val="24"/>
        </w:rPr>
        <w:t>Por medio de la cual se designa a las autoridades territoriales para que definan sobre la realización de las prácticas taurinas en su territorio y se dictan otras disposiciones.</w:t>
      </w:r>
      <w:r w:rsidRPr="000433D1">
        <w:rPr>
          <w:rFonts w:ascii="Book Antiqua" w:hAnsi="Book Antiqua" w:cs="Times New Roman"/>
          <w:b/>
          <w:bCs/>
          <w:sz w:val="24"/>
          <w:szCs w:val="24"/>
        </w:rPr>
        <w:t>”</w:t>
      </w:r>
      <w:r w:rsidRPr="000433D1">
        <w:rPr>
          <w:rFonts w:ascii="Book Antiqua" w:hAnsi="Book Antiqua"/>
          <w:sz w:val="24"/>
          <w:szCs w:val="24"/>
        </w:rPr>
        <w:t xml:space="preserve">, de acuerdo a los siguientes argumentos: </w:t>
      </w:r>
    </w:p>
    <w:p w14:paraId="2770A056" w14:textId="5356A487" w:rsidR="006938E4" w:rsidRPr="00AB0B68" w:rsidRDefault="006938E4" w:rsidP="00746A5C">
      <w:pPr>
        <w:spacing w:after="0" w:line="240" w:lineRule="auto"/>
        <w:jc w:val="both"/>
        <w:rPr>
          <w:rFonts w:ascii="Book Antiqua" w:hAnsi="Book Antiqua" w:cs="Times New Roman"/>
          <w:sz w:val="28"/>
          <w:szCs w:val="28"/>
        </w:rPr>
      </w:pPr>
    </w:p>
    <w:p w14:paraId="479878E8" w14:textId="3F6324BD" w:rsidR="00746A5C" w:rsidRPr="00AB0B68" w:rsidRDefault="00746A5C" w:rsidP="00746A5C">
      <w:pPr>
        <w:spacing w:after="0" w:line="240" w:lineRule="auto"/>
        <w:jc w:val="both"/>
        <w:rPr>
          <w:rFonts w:ascii="Book Antiqua" w:hAnsi="Book Antiqua" w:cs="Times New Roman"/>
          <w:sz w:val="28"/>
          <w:szCs w:val="28"/>
        </w:rPr>
      </w:pPr>
    </w:p>
    <w:p w14:paraId="598097E3" w14:textId="1382F4FF" w:rsidR="000433D1" w:rsidRDefault="000433D1" w:rsidP="00746A5C">
      <w:pPr>
        <w:pStyle w:val="Prrafodelista"/>
        <w:numPr>
          <w:ilvl w:val="0"/>
          <w:numId w:val="2"/>
        </w:numPr>
        <w:spacing w:after="0" w:line="240" w:lineRule="auto"/>
        <w:jc w:val="both"/>
        <w:rPr>
          <w:rFonts w:ascii="Book Antiqua" w:hAnsi="Book Antiqua" w:cs="Times New Roman"/>
          <w:b/>
          <w:bCs/>
          <w:sz w:val="24"/>
          <w:szCs w:val="24"/>
        </w:rPr>
      </w:pPr>
      <w:r>
        <w:rPr>
          <w:rFonts w:ascii="Book Antiqua" w:hAnsi="Book Antiqua" w:cs="Times New Roman"/>
          <w:b/>
          <w:bCs/>
          <w:sz w:val="24"/>
          <w:szCs w:val="24"/>
        </w:rPr>
        <w:t xml:space="preserve">TRAMITE DE LA INICIATIVA </w:t>
      </w:r>
    </w:p>
    <w:p w14:paraId="21FD995B" w14:textId="6CD3E406" w:rsidR="000433D1" w:rsidRPr="00A731C2" w:rsidRDefault="000433D1" w:rsidP="000433D1">
      <w:pPr>
        <w:spacing w:after="0" w:line="240" w:lineRule="auto"/>
        <w:jc w:val="both"/>
        <w:rPr>
          <w:rFonts w:ascii="Book Antiqua" w:hAnsi="Book Antiqua" w:cs="Times New Roman"/>
          <w:sz w:val="24"/>
          <w:szCs w:val="24"/>
        </w:rPr>
      </w:pPr>
    </w:p>
    <w:p w14:paraId="17DFBBA9" w14:textId="1BD04402" w:rsidR="000433D1" w:rsidRDefault="00A731C2" w:rsidP="000433D1">
      <w:pPr>
        <w:spacing w:after="0" w:line="240" w:lineRule="auto"/>
        <w:jc w:val="both"/>
        <w:rPr>
          <w:rFonts w:ascii="Book Antiqua" w:hAnsi="Book Antiqua"/>
          <w:sz w:val="24"/>
          <w:szCs w:val="24"/>
        </w:rPr>
      </w:pPr>
      <w:r w:rsidRPr="00A731C2">
        <w:rPr>
          <w:rFonts w:ascii="Book Antiqua" w:hAnsi="Book Antiqua" w:cs="Times New Roman"/>
          <w:sz w:val="24"/>
          <w:szCs w:val="24"/>
        </w:rPr>
        <w:t>El Proyecto de Ley Orgánica No. 155 de 2</w:t>
      </w:r>
      <w:r w:rsidR="00442BAA">
        <w:rPr>
          <w:rFonts w:ascii="Book Antiqua" w:hAnsi="Book Antiqua" w:cs="Times New Roman"/>
          <w:sz w:val="24"/>
          <w:szCs w:val="24"/>
        </w:rPr>
        <w:t>022</w:t>
      </w:r>
      <w:r w:rsidR="008F0E19">
        <w:rPr>
          <w:rFonts w:ascii="Book Antiqua" w:hAnsi="Book Antiqua" w:cs="Times New Roman"/>
          <w:sz w:val="24"/>
          <w:szCs w:val="24"/>
        </w:rPr>
        <w:t xml:space="preserve"> Cámara</w:t>
      </w:r>
      <w:r w:rsidRPr="00A731C2">
        <w:rPr>
          <w:rFonts w:ascii="Book Antiqua" w:hAnsi="Book Antiqua" w:cs="Times New Roman"/>
          <w:sz w:val="24"/>
          <w:szCs w:val="24"/>
        </w:rPr>
        <w:t xml:space="preserve"> “</w:t>
      </w:r>
      <w:r w:rsidRPr="00A731C2">
        <w:rPr>
          <w:rFonts w:ascii="Book Antiqua" w:hAnsi="Book Antiqua" w:cs="Times New Roman"/>
          <w:i/>
          <w:iCs/>
          <w:sz w:val="24"/>
          <w:szCs w:val="24"/>
        </w:rPr>
        <w:t>Por medio de la cual se designa a las autoridades territoriales para que definan sobre la realización de las prácticas taurinas en su territorio y se dictan otras disposiciones</w:t>
      </w:r>
      <w:r w:rsidRPr="00A731C2">
        <w:rPr>
          <w:rFonts w:ascii="Book Antiqua" w:hAnsi="Book Antiqua" w:cs="Times New Roman"/>
          <w:sz w:val="24"/>
          <w:szCs w:val="24"/>
        </w:rPr>
        <w:t>”</w:t>
      </w:r>
      <w:r>
        <w:rPr>
          <w:rFonts w:ascii="Book Antiqua" w:hAnsi="Book Antiqua"/>
          <w:sz w:val="24"/>
          <w:szCs w:val="24"/>
        </w:rPr>
        <w:t xml:space="preserve"> fue radicado el 24 de agosto de 2022 por el H.R Juan Daniel Peñuela Calvache, </w:t>
      </w:r>
      <w:proofErr w:type="spellStart"/>
      <w:r w:rsidRPr="00A731C2">
        <w:rPr>
          <w:rFonts w:ascii="Book Antiqua" w:hAnsi="Book Antiqua"/>
          <w:sz w:val="24"/>
          <w:szCs w:val="24"/>
        </w:rPr>
        <w:t>H.S.Efraín</w:t>
      </w:r>
      <w:proofErr w:type="spellEnd"/>
      <w:r w:rsidRPr="00A731C2">
        <w:rPr>
          <w:rFonts w:ascii="Book Antiqua" w:hAnsi="Book Antiqua"/>
          <w:sz w:val="24"/>
          <w:szCs w:val="24"/>
        </w:rPr>
        <w:t xml:space="preserve"> José Cepeda Sarabia, </w:t>
      </w:r>
      <w:proofErr w:type="spellStart"/>
      <w:r w:rsidRPr="00A731C2">
        <w:rPr>
          <w:rFonts w:ascii="Book Antiqua" w:hAnsi="Book Antiqua"/>
          <w:sz w:val="24"/>
          <w:szCs w:val="24"/>
        </w:rPr>
        <w:t>H.R.Armando</w:t>
      </w:r>
      <w:proofErr w:type="spellEnd"/>
      <w:r w:rsidRPr="00A731C2">
        <w:rPr>
          <w:rFonts w:ascii="Book Antiqua" w:hAnsi="Book Antiqua"/>
          <w:sz w:val="24"/>
          <w:szCs w:val="24"/>
        </w:rPr>
        <w:t xml:space="preserve"> </w:t>
      </w:r>
      <w:r w:rsidRPr="00A731C2">
        <w:rPr>
          <w:rFonts w:ascii="Book Antiqua" w:hAnsi="Book Antiqua"/>
          <w:sz w:val="24"/>
          <w:szCs w:val="24"/>
        </w:rPr>
        <w:lastRenderedPageBreak/>
        <w:t xml:space="preserve">Antonio </w:t>
      </w:r>
      <w:proofErr w:type="spellStart"/>
      <w:r w:rsidRPr="00A731C2">
        <w:rPr>
          <w:rFonts w:ascii="Book Antiqua" w:hAnsi="Book Antiqua"/>
          <w:sz w:val="24"/>
          <w:szCs w:val="24"/>
        </w:rPr>
        <w:t>Zabaraín</w:t>
      </w:r>
      <w:proofErr w:type="spellEnd"/>
      <w:r w:rsidRPr="00A731C2">
        <w:rPr>
          <w:rFonts w:ascii="Book Antiqua" w:hAnsi="Book Antiqua"/>
          <w:sz w:val="24"/>
          <w:szCs w:val="24"/>
        </w:rPr>
        <w:t xml:space="preserve"> de Arce , </w:t>
      </w:r>
      <w:proofErr w:type="spellStart"/>
      <w:r w:rsidRPr="00A731C2">
        <w:rPr>
          <w:rFonts w:ascii="Book Antiqua" w:hAnsi="Book Antiqua"/>
          <w:sz w:val="24"/>
          <w:szCs w:val="24"/>
        </w:rPr>
        <w:t>H.R.Andrés</w:t>
      </w:r>
      <w:proofErr w:type="spellEnd"/>
      <w:r w:rsidRPr="00A731C2">
        <w:rPr>
          <w:rFonts w:ascii="Book Antiqua" w:hAnsi="Book Antiqua"/>
          <w:sz w:val="24"/>
          <w:szCs w:val="24"/>
        </w:rPr>
        <w:t xml:space="preserve"> Felipe Jiménez Vargas , </w:t>
      </w:r>
      <w:proofErr w:type="spellStart"/>
      <w:r w:rsidRPr="00A731C2">
        <w:rPr>
          <w:rFonts w:ascii="Book Antiqua" w:hAnsi="Book Antiqua"/>
          <w:sz w:val="24"/>
          <w:szCs w:val="24"/>
        </w:rPr>
        <w:t>H.R.Ruth</w:t>
      </w:r>
      <w:proofErr w:type="spellEnd"/>
      <w:r w:rsidRPr="00A731C2">
        <w:rPr>
          <w:rFonts w:ascii="Book Antiqua" w:hAnsi="Book Antiqua"/>
          <w:sz w:val="24"/>
          <w:szCs w:val="24"/>
        </w:rPr>
        <w:t xml:space="preserve"> Amelia Caycedo Rosero , </w:t>
      </w:r>
      <w:proofErr w:type="spellStart"/>
      <w:r w:rsidRPr="00A731C2">
        <w:rPr>
          <w:rFonts w:ascii="Book Antiqua" w:hAnsi="Book Antiqua"/>
          <w:sz w:val="24"/>
          <w:szCs w:val="24"/>
        </w:rPr>
        <w:t>H.R.Juan</w:t>
      </w:r>
      <w:proofErr w:type="spellEnd"/>
      <w:r w:rsidRPr="00A731C2">
        <w:rPr>
          <w:rFonts w:ascii="Book Antiqua" w:hAnsi="Book Antiqua"/>
          <w:sz w:val="24"/>
          <w:szCs w:val="24"/>
        </w:rPr>
        <w:t xml:space="preserve"> Carlos </w:t>
      </w:r>
      <w:proofErr w:type="spellStart"/>
      <w:r w:rsidRPr="00A731C2">
        <w:rPr>
          <w:rFonts w:ascii="Book Antiqua" w:hAnsi="Book Antiqua"/>
          <w:sz w:val="24"/>
          <w:szCs w:val="24"/>
        </w:rPr>
        <w:t>Wills</w:t>
      </w:r>
      <w:proofErr w:type="spellEnd"/>
      <w:r w:rsidRPr="00A731C2">
        <w:rPr>
          <w:rFonts w:ascii="Book Antiqua" w:hAnsi="Book Antiqua"/>
          <w:sz w:val="24"/>
          <w:szCs w:val="24"/>
        </w:rPr>
        <w:t xml:space="preserve"> Ospina , </w:t>
      </w:r>
      <w:proofErr w:type="spellStart"/>
      <w:r w:rsidRPr="00A731C2">
        <w:rPr>
          <w:rFonts w:ascii="Book Antiqua" w:hAnsi="Book Antiqua"/>
          <w:sz w:val="24"/>
          <w:szCs w:val="24"/>
        </w:rPr>
        <w:t>H.R.Alfredo</w:t>
      </w:r>
      <w:proofErr w:type="spellEnd"/>
      <w:r w:rsidRPr="00A731C2">
        <w:rPr>
          <w:rFonts w:ascii="Book Antiqua" w:hAnsi="Book Antiqua"/>
          <w:sz w:val="24"/>
          <w:szCs w:val="24"/>
        </w:rPr>
        <w:t xml:space="preserve"> Ape Cuello Baute , </w:t>
      </w:r>
      <w:proofErr w:type="spellStart"/>
      <w:r w:rsidRPr="00A731C2">
        <w:rPr>
          <w:rFonts w:ascii="Book Antiqua" w:hAnsi="Book Antiqua"/>
          <w:sz w:val="24"/>
          <w:szCs w:val="24"/>
        </w:rPr>
        <w:t>H.R.Héctor</w:t>
      </w:r>
      <w:proofErr w:type="spellEnd"/>
      <w:r w:rsidRPr="00A731C2">
        <w:rPr>
          <w:rFonts w:ascii="Book Antiqua" w:hAnsi="Book Antiqua"/>
          <w:sz w:val="24"/>
          <w:szCs w:val="24"/>
        </w:rPr>
        <w:t xml:space="preserve"> Mauricio Cuéllar Pinzón</w:t>
      </w:r>
      <w:r>
        <w:rPr>
          <w:rFonts w:ascii="Book Antiqua" w:hAnsi="Book Antiqua"/>
          <w:sz w:val="24"/>
          <w:szCs w:val="24"/>
        </w:rPr>
        <w:t xml:space="preserve">. </w:t>
      </w:r>
    </w:p>
    <w:p w14:paraId="46FAAC3C" w14:textId="19AE50DE" w:rsidR="00A731C2" w:rsidRDefault="00A731C2" w:rsidP="000433D1">
      <w:pPr>
        <w:spacing w:after="0" w:line="240" w:lineRule="auto"/>
        <w:jc w:val="both"/>
        <w:rPr>
          <w:rFonts w:ascii="Book Antiqua" w:hAnsi="Book Antiqua"/>
          <w:sz w:val="24"/>
          <w:szCs w:val="24"/>
        </w:rPr>
      </w:pPr>
    </w:p>
    <w:p w14:paraId="358DF179" w14:textId="095D9FB1" w:rsidR="00A731C2" w:rsidRPr="00A731C2" w:rsidRDefault="00A731C2" w:rsidP="000433D1">
      <w:pPr>
        <w:spacing w:after="0" w:line="240" w:lineRule="auto"/>
        <w:jc w:val="both"/>
        <w:rPr>
          <w:rFonts w:ascii="Book Antiqua" w:hAnsi="Book Antiqua"/>
          <w:sz w:val="24"/>
          <w:szCs w:val="24"/>
        </w:rPr>
      </w:pPr>
      <w:r>
        <w:rPr>
          <w:rFonts w:ascii="Book Antiqua" w:hAnsi="Book Antiqua"/>
          <w:sz w:val="24"/>
          <w:szCs w:val="24"/>
        </w:rPr>
        <w:t xml:space="preserve">Fue radicado en la Comisión Primera el 15 de noviembre de 2022 y posteriormente, el 30 de noviembre de 2022 se designó como ponente al H.R Juan Daniel Peñuela Calvache. </w:t>
      </w:r>
    </w:p>
    <w:p w14:paraId="0CE345F7" w14:textId="05FFC31D" w:rsidR="000433D1" w:rsidRDefault="000433D1" w:rsidP="000433D1">
      <w:pPr>
        <w:spacing w:after="0" w:line="240" w:lineRule="auto"/>
        <w:jc w:val="both"/>
        <w:rPr>
          <w:rFonts w:ascii="Book Antiqua" w:hAnsi="Book Antiqua" w:cs="Times New Roman"/>
          <w:b/>
          <w:bCs/>
          <w:sz w:val="24"/>
          <w:szCs w:val="24"/>
        </w:rPr>
      </w:pPr>
    </w:p>
    <w:p w14:paraId="67FF3ED8" w14:textId="77777777" w:rsidR="000433D1" w:rsidRPr="000433D1" w:rsidRDefault="000433D1" w:rsidP="000433D1">
      <w:pPr>
        <w:spacing w:after="0" w:line="240" w:lineRule="auto"/>
        <w:jc w:val="both"/>
        <w:rPr>
          <w:rFonts w:ascii="Book Antiqua" w:hAnsi="Book Antiqua" w:cs="Times New Roman"/>
          <w:b/>
          <w:bCs/>
          <w:sz w:val="24"/>
          <w:szCs w:val="24"/>
        </w:rPr>
      </w:pPr>
    </w:p>
    <w:p w14:paraId="598532F0" w14:textId="70B7E2B1" w:rsidR="00746A5C" w:rsidRPr="000433D1" w:rsidRDefault="00746A5C" w:rsidP="00746A5C">
      <w:pPr>
        <w:pStyle w:val="Prrafodelista"/>
        <w:numPr>
          <w:ilvl w:val="0"/>
          <w:numId w:val="2"/>
        </w:numPr>
        <w:spacing w:after="0" w:line="240" w:lineRule="auto"/>
        <w:jc w:val="both"/>
        <w:rPr>
          <w:rFonts w:ascii="Book Antiqua" w:hAnsi="Book Antiqua" w:cs="Times New Roman"/>
          <w:b/>
          <w:bCs/>
          <w:sz w:val="24"/>
          <w:szCs w:val="24"/>
        </w:rPr>
      </w:pPr>
      <w:r w:rsidRPr="000433D1">
        <w:rPr>
          <w:rFonts w:ascii="Book Antiqua" w:hAnsi="Book Antiqua" w:cs="Times New Roman"/>
          <w:b/>
          <w:bCs/>
          <w:sz w:val="24"/>
          <w:szCs w:val="24"/>
        </w:rPr>
        <w:t>OBJETO DEL PROYECTO DE LEY</w:t>
      </w:r>
    </w:p>
    <w:p w14:paraId="2B1278DE" w14:textId="63CEE3A3" w:rsidR="00746A5C" w:rsidRPr="000433D1" w:rsidRDefault="00746A5C" w:rsidP="00746A5C">
      <w:pPr>
        <w:spacing w:after="0" w:line="240" w:lineRule="auto"/>
        <w:jc w:val="both"/>
        <w:rPr>
          <w:rFonts w:ascii="Book Antiqua" w:hAnsi="Book Antiqua" w:cs="Times New Roman"/>
          <w:sz w:val="24"/>
          <w:szCs w:val="24"/>
        </w:rPr>
      </w:pPr>
    </w:p>
    <w:p w14:paraId="4E6707BC" w14:textId="6B63DEDB" w:rsidR="00162D84" w:rsidRPr="000433D1" w:rsidRDefault="00162D84" w:rsidP="00162D84">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El presente proye</w:t>
      </w:r>
      <w:r w:rsidR="006C47D2" w:rsidRPr="000433D1">
        <w:rPr>
          <w:rFonts w:ascii="Book Antiqua" w:hAnsi="Book Antiqua" w:cs="Times New Roman"/>
          <w:sz w:val="24"/>
          <w:szCs w:val="24"/>
        </w:rPr>
        <w:t>cto de ley tiene como propósito</w:t>
      </w:r>
      <w:r w:rsidRPr="000433D1">
        <w:rPr>
          <w:rFonts w:ascii="Book Antiqua" w:hAnsi="Book Antiqua" w:cs="Times New Roman"/>
          <w:sz w:val="24"/>
          <w:szCs w:val="24"/>
        </w:rPr>
        <w:t xml:space="preserve"> designar a las autoridades ter</w:t>
      </w:r>
      <w:r w:rsidR="006C47D2" w:rsidRPr="000433D1">
        <w:rPr>
          <w:rFonts w:ascii="Book Antiqua" w:hAnsi="Book Antiqua" w:cs="Times New Roman"/>
          <w:sz w:val="24"/>
          <w:szCs w:val="24"/>
        </w:rPr>
        <w:t xml:space="preserve">ritoriales para que, </w:t>
      </w:r>
      <w:r w:rsidRPr="000433D1">
        <w:rPr>
          <w:rFonts w:ascii="Book Antiqua" w:hAnsi="Book Antiqua" w:cs="Times New Roman"/>
          <w:sz w:val="24"/>
          <w:szCs w:val="24"/>
        </w:rPr>
        <w:t xml:space="preserve">a partir de los principios de autonomía territorial y participación democrática, definan dentro de su jurisdicción y, a través de los mecanismos de participación democrática previstos en la Ley, la viabilidad de realizar las corridas de toros como una expresión local de la cultura. </w:t>
      </w:r>
      <w:r w:rsidR="0076681C" w:rsidRPr="000433D1">
        <w:rPr>
          <w:rFonts w:ascii="Book Antiqua" w:hAnsi="Book Antiqua" w:cs="Times New Roman"/>
          <w:sz w:val="24"/>
          <w:szCs w:val="24"/>
        </w:rPr>
        <w:t xml:space="preserve">Ello con la finalidad de garantizar el mandato previsto en el artículo 2° de la Constitución que corresponde a </w:t>
      </w:r>
      <w:r w:rsidR="0076681C" w:rsidRPr="000433D1">
        <w:rPr>
          <w:rFonts w:ascii="Book Antiqua" w:hAnsi="Book Antiqua" w:cs="Times New Roman"/>
          <w:i/>
          <w:iCs/>
          <w:sz w:val="24"/>
          <w:szCs w:val="24"/>
        </w:rPr>
        <w:t>facilitar la participación de todos en las decisiones que los afectan y en la vida económica, política, administrativa y cultural de la Nación</w:t>
      </w:r>
      <w:r w:rsidR="0076681C" w:rsidRPr="000433D1">
        <w:rPr>
          <w:rFonts w:ascii="Book Antiqua" w:hAnsi="Book Antiqua" w:cs="Times New Roman"/>
          <w:sz w:val="24"/>
          <w:szCs w:val="24"/>
        </w:rPr>
        <w:t>.</w:t>
      </w:r>
    </w:p>
    <w:p w14:paraId="06199A4E" w14:textId="77777777" w:rsidR="00400BD2" w:rsidRPr="000433D1" w:rsidRDefault="00400BD2" w:rsidP="00746A5C">
      <w:pPr>
        <w:spacing w:after="0" w:line="240" w:lineRule="auto"/>
        <w:jc w:val="both"/>
        <w:rPr>
          <w:rFonts w:ascii="Book Antiqua" w:hAnsi="Book Antiqua" w:cs="Times New Roman"/>
          <w:sz w:val="24"/>
          <w:szCs w:val="24"/>
        </w:rPr>
      </w:pPr>
    </w:p>
    <w:p w14:paraId="479EAF6D" w14:textId="1B662D16" w:rsidR="00746A5C" w:rsidRPr="000433D1" w:rsidRDefault="00266452" w:rsidP="00746A5C">
      <w:pPr>
        <w:pStyle w:val="Prrafodelista"/>
        <w:numPr>
          <w:ilvl w:val="0"/>
          <w:numId w:val="2"/>
        </w:numPr>
        <w:spacing w:after="0" w:line="240" w:lineRule="auto"/>
        <w:jc w:val="both"/>
        <w:rPr>
          <w:rFonts w:ascii="Book Antiqua" w:hAnsi="Book Antiqua" w:cs="Times New Roman"/>
          <w:b/>
          <w:bCs/>
          <w:sz w:val="24"/>
          <w:szCs w:val="24"/>
        </w:rPr>
      </w:pPr>
      <w:r w:rsidRPr="000433D1">
        <w:rPr>
          <w:rFonts w:ascii="Book Antiqua" w:hAnsi="Book Antiqua" w:cs="Times New Roman"/>
          <w:b/>
          <w:bCs/>
          <w:sz w:val="24"/>
          <w:szCs w:val="24"/>
        </w:rPr>
        <w:t>JUSTIFICACIÓN</w:t>
      </w:r>
    </w:p>
    <w:p w14:paraId="214C57D8" w14:textId="7F1EA016" w:rsidR="00746A5C" w:rsidRPr="000433D1" w:rsidRDefault="00746A5C" w:rsidP="00746A5C">
      <w:pPr>
        <w:spacing w:after="0" w:line="240" w:lineRule="auto"/>
        <w:jc w:val="both"/>
        <w:rPr>
          <w:rFonts w:ascii="Book Antiqua" w:hAnsi="Book Antiqua" w:cs="Times New Roman"/>
          <w:sz w:val="24"/>
          <w:szCs w:val="24"/>
        </w:rPr>
      </w:pPr>
    </w:p>
    <w:p w14:paraId="26624CB0" w14:textId="211DE687" w:rsidR="0076681C" w:rsidRPr="000433D1" w:rsidRDefault="0076681C" w:rsidP="0076681C">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 xml:space="preserve">El Congreso de la República ha entendido que la tauromaquia es una expresión cultural y, por tanto, un asunto de interés nacional. A partir de ello, la Corte Constitucional estableció que las reglamentaciones deben ser expedidas por parte del Congreso de la República. Esta preferencia tiene diferentes sustentos, tales como: </w:t>
      </w:r>
      <w:r w:rsidRPr="000433D1">
        <w:rPr>
          <w:rFonts w:ascii="Book Antiqua" w:hAnsi="Book Antiqua" w:cs="Times New Roman"/>
          <w:b/>
          <w:bCs/>
          <w:i/>
          <w:iCs/>
          <w:sz w:val="24"/>
          <w:szCs w:val="24"/>
        </w:rPr>
        <w:t>(i)</w:t>
      </w:r>
      <w:r w:rsidRPr="000433D1">
        <w:rPr>
          <w:rFonts w:ascii="Book Antiqua" w:hAnsi="Book Antiqua" w:cs="Times New Roman"/>
          <w:sz w:val="24"/>
          <w:szCs w:val="24"/>
        </w:rPr>
        <w:t xml:space="preserve"> el Congreso es el órgano de representación del pueblo colombiano; y, por tanto, </w:t>
      </w:r>
      <w:r w:rsidRPr="000433D1">
        <w:rPr>
          <w:rFonts w:ascii="Book Antiqua" w:hAnsi="Book Antiqua" w:cs="Times New Roman"/>
          <w:b/>
          <w:bCs/>
          <w:i/>
          <w:iCs/>
          <w:sz w:val="24"/>
          <w:szCs w:val="24"/>
        </w:rPr>
        <w:t>(</w:t>
      </w:r>
      <w:proofErr w:type="spellStart"/>
      <w:r w:rsidRPr="000433D1">
        <w:rPr>
          <w:rFonts w:ascii="Book Antiqua" w:hAnsi="Book Antiqua" w:cs="Times New Roman"/>
          <w:b/>
          <w:bCs/>
          <w:i/>
          <w:iCs/>
          <w:sz w:val="24"/>
          <w:szCs w:val="24"/>
        </w:rPr>
        <w:t>ii</w:t>
      </w:r>
      <w:proofErr w:type="spellEnd"/>
      <w:r w:rsidRPr="000433D1">
        <w:rPr>
          <w:rFonts w:ascii="Book Antiqua" w:hAnsi="Book Antiqua" w:cs="Times New Roman"/>
          <w:b/>
          <w:bCs/>
          <w:i/>
          <w:iCs/>
          <w:sz w:val="24"/>
          <w:szCs w:val="24"/>
        </w:rPr>
        <w:t>)</w:t>
      </w:r>
      <w:r w:rsidRPr="000433D1">
        <w:rPr>
          <w:rFonts w:ascii="Book Antiqua" w:hAnsi="Book Antiqua" w:cs="Times New Roman"/>
          <w:sz w:val="24"/>
          <w:szCs w:val="24"/>
        </w:rPr>
        <w:t xml:space="preserve"> es a quien le corresponde decidir qué actividad se entiende como expresión cultural dentro del contexto patrimonial material e inmaterial colombiano. Finalmente, </w:t>
      </w:r>
      <w:r w:rsidRPr="000433D1">
        <w:rPr>
          <w:rFonts w:ascii="Book Antiqua" w:hAnsi="Book Antiqua" w:cs="Times New Roman"/>
          <w:b/>
          <w:bCs/>
          <w:i/>
          <w:iCs/>
          <w:sz w:val="24"/>
          <w:szCs w:val="24"/>
        </w:rPr>
        <w:t>(</w:t>
      </w:r>
      <w:proofErr w:type="spellStart"/>
      <w:r w:rsidRPr="000433D1">
        <w:rPr>
          <w:rFonts w:ascii="Book Antiqua" w:hAnsi="Book Antiqua" w:cs="Times New Roman"/>
          <w:b/>
          <w:bCs/>
          <w:i/>
          <w:iCs/>
          <w:sz w:val="24"/>
          <w:szCs w:val="24"/>
        </w:rPr>
        <w:t>iii</w:t>
      </w:r>
      <w:proofErr w:type="spellEnd"/>
      <w:r w:rsidRPr="000433D1">
        <w:rPr>
          <w:rFonts w:ascii="Book Antiqua" w:hAnsi="Book Antiqua" w:cs="Times New Roman"/>
          <w:b/>
          <w:bCs/>
          <w:i/>
          <w:iCs/>
          <w:sz w:val="24"/>
          <w:szCs w:val="24"/>
        </w:rPr>
        <w:t>)</w:t>
      </w:r>
      <w:r w:rsidRPr="000433D1">
        <w:rPr>
          <w:rFonts w:ascii="Book Antiqua" w:hAnsi="Book Antiqua" w:cs="Times New Roman"/>
          <w:sz w:val="24"/>
          <w:szCs w:val="24"/>
        </w:rPr>
        <w:t xml:space="preserve"> es un asunto donde se debate derechos fundamentales y principios constitucionales y, por tanto, la decisión que se deba adoptar debe cumplir con todo el análisis propio que exige una ley de la República.  </w:t>
      </w:r>
    </w:p>
    <w:p w14:paraId="2424CEA9" w14:textId="77777777" w:rsidR="0076681C" w:rsidRPr="000433D1" w:rsidRDefault="0076681C" w:rsidP="0076681C">
      <w:pPr>
        <w:spacing w:after="0" w:line="240" w:lineRule="auto"/>
        <w:jc w:val="both"/>
        <w:rPr>
          <w:rFonts w:ascii="Book Antiqua" w:hAnsi="Book Antiqua" w:cs="Times New Roman"/>
          <w:sz w:val="24"/>
          <w:szCs w:val="24"/>
        </w:rPr>
      </w:pPr>
    </w:p>
    <w:p w14:paraId="3318F140" w14:textId="43B0BF63" w:rsidR="0076681C" w:rsidRPr="000433D1" w:rsidRDefault="0076681C" w:rsidP="0076681C">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 xml:space="preserve">Sin embargo, es necesario que, el Congreso de la República, en su función de configuración política de la Constitución, reconozca </w:t>
      </w:r>
      <w:r w:rsidR="009A73B3" w:rsidRPr="000433D1">
        <w:rPr>
          <w:rFonts w:ascii="Book Antiqua" w:hAnsi="Book Antiqua" w:cs="Times New Roman"/>
          <w:sz w:val="24"/>
          <w:szCs w:val="24"/>
        </w:rPr>
        <w:t xml:space="preserve">que la actividad taurina ya no es una expresión del patrimonio cultural de la Nación, lo cual, conlleva la posibilidad de que se decida si territorialmente esta actividad tiene un arraigo cultural dentro de los municipios y distritos de todo el territorio nacional </w:t>
      </w:r>
      <w:r w:rsidRPr="000433D1">
        <w:rPr>
          <w:rFonts w:ascii="Book Antiqua" w:hAnsi="Book Antiqua" w:cs="Times New Roman"/>
          <w:sz w:val="24"/>
          <w:szCs w:val="24"/>
        </w:rPr>
        <w:t>y</w:t>
      </w:r>
      <w:r w:rsidR="009A73B3" w:rsidRPr="000433D1">
        <w:rPr>
          <w:rFonts w:ascii="Book Antiqua" w:hAnsi="Book Antiqua" w:cs="Times New Roman"/>
          <w:sz w:val="24"/>
          <w:szCs w:val="24"/>
        </w:rPr>
        <w:t xml:space="preserve">, a partir </w:t>
      </w:r>
      <w:r w:rsidR="009A73B3" w:rsidRPr="000433D1">
        <w:rPr>
          <w:rFonts w:ascii="Book Antiqua" w:hAnsi="Book Antiqua" w:cs="Times New Roman"/>
          <w:sz w:val="24"/>
          <w:szCs w:val="24"/>
        </w:rPr>
        <w:lastRenderedPageBreak/>
        <w:t>de allí,</w:t>
      </w:r>
      <w:r w:rsidRPr="000433D1">
        <w:rPr>
          <w:rFonts w:ascii="Book Antiqua" w:hAnsi="Book Antiqua" w:cs="Times New Roman"/>
          <w:sz w:val="24"/>
          <w:szCs w:val="24"/>
        </w:rPr>
        <w:t xml:space="preserve"> prevalezca los principios constitucionales de autonomía territorial, la participación democrática y la posibilidad de que los habitantes del territorio participen en las decisiones que les afecten en comunidad de manera inmediata.</w:t>
      </w:r>
    </w:p>
    <w:p w14:paraId="461D5390" w14:textId="77777777" w:rsidR="0076681C" w:rsidRPr="000433D1" w:rsidRDefault="0076681C" w:rsidP="00746A5C">
      <w:pPr>
        <w:spacing w:after="0" w:line="240" w:lineRule="auto"/>
        <w:jc w:val="both"/>
        <w:rPr>
          <w:rFonts w:ascii="Book Antiqua" w:hAnsi="Book Antiqua" w:cs="Times New Roman"/>
          <w:sz w:val="24"/>
          <w:szCs w:val="24"/>
        </w:rPr>
      </w:pPr>
    </w:p>
    <w:p w14:paraId="5E751F1F" w14:textId="59B64EB5" w:rsidR="00746A5C" w:rsidRPr="000433D1" w:rsidRDefault="00F51B34" w:rsidP="008A424C">
      <w:pPr>
        <w:pStyle w:val="Prrafodelista"/>
        <w:numPr>
          <w:ilvl w:val="0"/>
          <w:numId w:val="3"/>
        </w:numPr>
        <w:spacing w:after="0" w:line="240" w:lineRule="auto"/>
        <w:ind w:left="0" w:firstLine="0"/>
        <w:jc w:val="both"/>
        <w:rPr>
          <w:rFonts w:ascii="Book Antiqua" w:hAnsi="Book Antiqua" w:cs="Times New Roman"/>
          <w:b/>
          <w:bCs/>
          <w:sz w:val="24"/>
          <w:szCs w:val="24"/>
        </w:rPr>
      </w:pPr>
      <w:r w:rsidRPr="000433D1">
        <w:rPr>
          <w:rFonts w:ascii="Book Antiqua" w:hAnsi="Book Antiqua" w:cs="Times New Roman"/>
          <w:b/>
          <w:bCs/>
          <w:sz w:val="24"/>
          <w:szCs w:val="24"/>
        </w:rPr>
        <w:t xml:space="preserve">Competencias del legislador respecto la reglamentación de los espectáculos taurinos </w:t>
      </w:r>
      <w:r w:rsidR="00F2581B" w:rsidRPr="000433D1">
        <w:rPr>
          <w:rFonts w:ascii="Book Antiqua" w:hAnsi="Book Antiqua" w:cs="Times New Roman"/>
          <w:b/>
          <w:bCs/>
          <w:sz w:val="24"/>
          <w:szCs w:val="24"/>
        </w:rPr>
        <w:t xml:space="preserve"> </w:t>
      </w:r>
    </w:p>
    <w:p w14:paraId="594596B5" w14:textId="604D8D36" w:rsidR="00266452" w:rsidRPr="000433D1" w:rsidRDefault="00266452" w:rsidP="00AA5835">
      <w:pPr>
        <w:spacing w:after="0" w:line="240" w:lineRule="auto"/>
        <w:jc w:val="both"/>
        <w:rPr>
          <w:rFonts w:ascii="Book Antiqua" w:hAnsi="Book Antiqua" w:cs="Times New Roman"/>
          <w:sz w:val="24"/>
          <w:szCs w:val="24"/>
        </w:rPr>
      </w:pPr>
    </w:p>
    <w:p w14:paraId="16C31F6B" w14:textId="60C34FC4" w:rsidR="009A73B3" w:rsidRPr="000433D1" w:rsidRDefault="009A73B3" w:rsidP="009A73B3">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En el año 2005, la Ley 916 expuso que “</w:t>
      </w:r>
      <w:r w:rsidRPr="000433D1">
        <w:rPr>
          <w:rFonts w:ascii="Book Antiqua" w:hAnsi="Book Antiqua" w:cs="Times New Roman"/>
          <w:i/>
          <w:iCs/>
          <w:sz w:val="24"/>
          <w:szCs w:val="24"/>
        </w:rPr>
        <w:t>Los espectáculos taurinos son considerados como una expresión artística del ser humano</w:t>
      </w:r>
      <w:r w:rsidRPr="000433D1">
        <w:rPr>
          <w:rFonts w:ascii="Book Antiqua" w:hAnsi="Book Antiqua" w:cs="Times New Roman"/>
          <w:sz w:val="24"/>
          <w:szCs w:val="24"/>
        </w:rPr>
        <w:t xml:space="preserve">”. Esta expresión </w:t>
      </w:r>
      <w:r w:rsidR="00F51B34" w:rsidRPr="000433D1">
        <w:rPr>
          <w:rFonts w:ascii="Book Antiqua" w:hAnsi="Book Antiqua" w:cs="Times New Roman"/>
          <w:sz w:val="24"/>
          <w:szCs w:val="24"/>
        </w:rPr>
        <w:t xml:space="preserve">fue avalada </w:t>
      </w:r>
      <w:r w:rsidRPr="000433D1">
        <w:rPr>
          <w:rFonts w:ascii="Book Antiqua" w:hAnsi="Book Antiqua" w:cs="Times New Roman"/>
          <w:sz w:val="24"/>
          <w:szCs w:val="24"/>
        </w:rPr>
        <w:t>por la Corte Constitucional en la sentencia C-1192 de 2005, debido a que el Congreso de la República es competente para configurar qué actividades se entienden como expresiones culturales</w:t>
      </w:r>
      <w:r w:rsidR="00E74BC0" w:rsidRPr="000433D1">
        <w:rPr>
          <w:rFonts w:ascii="Book Antiqua" w:hAnsi="Book Antiqua" w:cs="Times New Roman"/>
          <w:sz w:val="24"/>
          <w:szCs w:val="24"/>
        </w:rPr>
        <w:t>. Además, consideró necesario que sea el Congreso de la República quien reglamente la materia,</w:t>
      </w:r>
      <w:r w:rsidRPr="000433D1">
        <w:rPr>
          <w:rFonts w:ascii="Book Antiqua" w:hAnsi="Book Antiqua" w:cs="Times New Roman"/>
          <w:sz w:val="24"/>
          <w:szCs w:val="24"/>
        </w:rPr>
        <w:t xml:space="preserve"> debido a que la regulación que desarrolle los espectáculos taurinos conllev</w:t>
      </w:r>
      <w:r w:rsidR="00E74BC0" w:rsidRPr="000433D1">
        <w:rPr>
          <w:rFonts w:ascii="Book Antiqua" w:hAnsi="Book Antiqua" w:cs="Times New Roman"/>
          <w:sz w:val="24"/>
          <w:szCs w:val="24"/>
        </w:rPr>
        <w:t>a</w:t>
      </w:r>
      <w:r w:rsidRPr="000433D1">
        <w:rPr>
          <w:rFonts w:ascii="Book Antiqua" w:hAnsi="Book Antiqua" w:cs="Times New Roman"/>
          <w:sz w:val="24"/>
          <w:szCs w:val="24"/>
        </w:rPr>
        <w:t xml:space="preserve"> una afectación (desarrollo o limitación) a derechos fundamentales, tales como la libre expresión artística,</w:t>
      </w:r>
      <w:r w:rsidRPr="000433D1">
        <w:rPr>
          <w:rStyle w:val="Refdenotaalpie"/>
          <w:rFonts w:ascii="Book Antiqua" w:hAnsi="Book Antiqua" w:cs="Times New Roman"/>
          <w:sz w:val="24"/>
          <w:szCs w:val="24"/>
        </w:rPr>
        <w:footnoteReference w:id="1"/>
      </w:r>
      <w:r w:rsidRPr="000433D1">
        <w:rPr>
          <w:rFonts w:ascii="Book Antiqua" w:hAnsi="Book Antiqua" w:cs="Times New Roman"/>
          <w:sz w:val="24"/>
          <w:szCs w:val="24"/>
        </w:rPr>
        <w:t xml:space="preserve"> el fomento de la cultura, la libertad de conciencia</w:t>
      </w:r>
      <w:r w:rsidRPr="000433D1">
        <w:rPr>
          <w:rStyle w:val="Refdenotaalpie"/>
          <w:rFonts w:ascii="Book Antiqua" w:hAnsi="Book Antiqua" w:cs="Times New Roman"/>
          <w:sz w:val="24"/>
          <w:szCs w:val="24"/>
        </w:rPr>
        <w:footnoteReference w:id="2"/>
      </w:r>
      <w:r w:rsidRPr="000433D1">
        <w:rPr>
          <w:rFonts w:ascii="Book Antiqua" w:hAnsi="Book Antiqua" w:cs="Times New Roman"/>
          <w:sz w:val="24"/>
          <w:szCs w:val="24"/>
        </w:rPr>
        <w:t xml:space="preserve"> o el libre desarrollo de la personalidad.</w:t>
      </w:r>
      <w:r w:rsidRPr="000433D1">
        <w:rPr>
          <w:rStyle w:val="Refdenotaalpie"/>
          <w:rFonts w:ascii="Book Antiqua" w:hAnsi="Book Antiqua" w:cs="Times New Roman"/>
          <w:sz w:val="24"/>
          <w:szCs w:val="24"/>
        </w:rPr>
        <w:footnoteReference w:id="3"/>
      </w:r>
      <w:r w:rsidRPr="000433D1">
        <w:rPr>
          <w:rFonts w:ascii="Book Antiqua" w:hAnsi="Book Antiqua" w:cs="Times New Roman"/>
          <w:sz w:val="24"/>
          <w:szCs w:val="24"/>
        </w:rPr>
        <w:t xml:space="preserve"> </w:t>
      </w:r>
    </w:p>
    <w:p w14:paraId="18D7CE2F" w14:textId="6845A455" w:rsidR="00DD74AE" w:rsidRPr="000433D1" w:rsidRDefault="00DD74AE" w:rsidP="009A73B3">
      <w:pPr>
        <w:spacing w:after="0" w:line="240" w:lineRule="auto"/>
        <w:jc w:val="both"/>
        <w:rPr>
          <w:rFonts w:ascii="Book Antiqua" w:hAnsi="Book Antiqua" w:cs="Times New Roman"/>
          <w:sz w:val="24"/>
          <w:szCs w:val="24"/>
        </w:rPr>
      </w:pPr>
    </w:p>
    <w:p w14:paraId="1F91A80C" w14:textId="22E4E0B2" w:rsidR="00DE1CD4" w:rsidRPr="000433D1" w:rsidRDefault="00F51B34" w:rsidP="00746A5C">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E</w:t>
      </w:r>
      <w:r w:rsidR="008443CE" w:rsidRPr="000433D1">
        <w:rPr>
          <w:rFonts w:ascii="Book Antiqua" w:hAnsi="Book Antiqua" w:cs="Times New Roman"/>
          <w:sz w:val="24"/>
          <w:szCs w:val="24"/>
        </w:rPr>
        <w:t xml:space="preserve">n todo caso, </w:t>
      </w:r>
      <w:r w:rsidR="00DD74AE" w:rsidRPr="000433D1">
        <w:rPr>
          <w:rFonts w:ascii="Book Antiqua" w:hAnsi="Book Antiqua" w:cs="Times New Roman"/>
          <w:sz w:val="24"/>
          <w:szCs w:val="24"/>
        </w:rPr>
        <w:t xml:space="preserve">a pesar de no ser una actividad que se realice </w:t>
      </w:r>
      <w:r w:rsidR="000D2E02" w:rsidRPr="000433D1">
        <w:rPr>
          <w:rFonts w:ascii="Book Antiqua" w:hAnsi="Book Antiqua" w:cs="Times New Roman"/>
          <w:sz w:val="24"/>
          <w:szCs w:val="24"/>
        </w:rPr>
        <w:t>en todo el territorio nacional</w:t>
      </w:r>
      <w:r w:rsidRPr="000433D1">
        <w:rPr>
          <w:rFonts w:ascii="Book Antiqua" w:hAnsi="Book Antiqua" w:cs="Times New Roman"/>
          <w:sz w:val="24"/>
          <w:szCs w:val="24"/>
        </w:rPr>
        <w:t>, ello no significa que</w:t>
      </w:r>
      <w:r w:rsidR="000D2E02" w:rsidRPr="000433D1">
        <w:rPr>
          <w:rFonts w:ascii="Book Antiqua" w:hAnsi="Book Antiqua" w:cs="Times New Roman"/>
          <w:sz w:val="24"/>
          <w:szCs w:val="24"/>
        </w:rPr>
        <w:t xml:space="preserve"> no deba ser protegida. Por ello, la Corte Constitucional, en la sentencia C-666 de 2010, dispuso en su momento que, si bien las prácticas taurinas eran una expresión cultural -debido a que así lo decidió el Congreso de la República- </w:t>
      </w:r>
      <w:r w:rsidR="000D2E02" w:rsidRPr="000433D1">
        <w:rPr>
          <w:rFonts w:ascii="Book Antiqua" w:hAnsi="Book Antiqua" w:cs="Times New Roman"/>
          <w:b/>
          <w:bCs/>
          <w:i/>
          <w:iCs/>
          <w:sz w:val="24"/>
          <w:szCs w:val="24"/>
        </w:rPr>
        <w:t>(</w:t>
      </w:r>
      <w:r w:rsidR="00354CA3" w:rsidRPr="000433D1">
        <w:rPr>
          <w:rFonts w:ascii="Book Antiqua" w:hAnsi="Book Antiqua" w:cs="Times New Roman"/>
          <w:b/>
          <w:bCs/>
          <w:i/>
          <w:iCs/>
          <w:sz w:val="24"/>
          <w:szCs w:val="24"/>
        </w:rPr>
        <w:t>i)</w:t>
      </w:r>
      <w:r w:rsidR="00354CA3" w:rsidRPr="000433D1">
        <w:rPr>
          <w:rFonts w:ascii="Book Antiqua" w:hAnsi="Book Antiqua" w:cs="Times New Roman"/>
          <w:sz w:val="24"/>
          <w:szCs w:val="24"/>
        </w:rPr>
        <w:t xml:space="preserve"> las manifestaciones culturales donde se permite excepcionalmente el maltrato animal deben ser reguladas de manera que garantice en la mayor medida posible el deber de protección animal;</w:t>
      </w:r>
      <w:r w:rsidR="00D1511B" w:rsidRPr="000433D1">
        <w:rPr>
          <w:rStyle w:val="Refdenotaalpie"/>
          <w:rFonts w:ascii="Book Antiqua" w:hAnsi="Book Antiqua" w:cs="Times New Roman"/>
          <w:sz w:val="24"/>
          <w:szCs w:val="24"/>
        </w:rPr>
        <w:footnoteReference w:id="4"/>
      </w:r>
      <w:r w:rsidR="00354CA3" w:rsidRPr="000433D1">
        <w:rPr>
          <w:rFonts w:ascii="Book Antiqua" w:hAnsi="Book Antiqua" w:cs="Times New Roman"/>
          <w:sz w:val="24"/>
          <w:szCs w:val="24"/>
        </w:rPr>
        <w:t xml:space="preserve"> </w:t>
      </w:r>
      <w:r w:rsidR="00354CA3" w:rsidRPr="000433D1">
        <w:rPr>
          <w:rFonts w:ascii="Book Antiqua" w:hAnsi="Book Antiqua" w:cs="Times New Roman"/>
          <w:b/>
          <w:bCs/>
          <w:i/>
          <w:iCs/>
          <w:sz w:val="24"/>
          <w:szCs w:val="24"/>
        </w:rPr>
        <w:t>(</w:t>
      </w:r>
      <w:proofErr w:type="spellStart"/>
      <w:r w:rsidR="00354CA3" w:rsidRPr="000433D1">
        <w:rPr>
          <w:rFonts w:ascii="Book Antiqua" w:hAnsi="Book Antiqua" w:cs="Times New Roman"/>
          <w:b/>
          <w:bCs/>
          <w:i/>
          <w:iCs/>
          <w:sz w:val="24"/>
          <w:szCs w:val="24"/>
        </w:rPr>
        <w:t>ii</w:t>
      </w:r>
      <w:proofErr w:type="spellEnd"/>
      <w:r w:rsidR="00354CA3" w:rsidRPr="000433D1">
        <w:rPr>
          <w:rFonts w:ascii="Book Antiqua" w:hAnsi="Book Antiqua" w:cs="Times New Roman"/>
          <w:b/>
          <w:bCs/>
          <w:i/>
          <w:iCs/>
          <w:sz w:val="24"/>
          <w:szCs w:val="24"/>
        </w:rPr>
        <w:t>)</w:t>
      </w:r>
      <w:r w:rsidR="00354CA3" w:rsidRPr="000433D1">
        <w:rPr>
          <w:rFonts w:ascii="Book Antiqua" w:hAnsi="Book Antiqua" w:cs="Times New Roman"/>
          <w:sz w:val="24"/>
          <w:szCs w:val="24"/>
        </w:rPr>
        <w:t xml:space="preserve"> que </w:t>
      </w:r>
      <w:r w:rsidR="00354CA3" w:rsidRPr="000433D1">
        <w:rPr>
          <w:rFonts w:ascii="Book Antiqua" w:hAnsi="Book Antiqua" w:cs="Times New Roman"/>
          <w:i/>
          <w:iCs/>
          <w:sz w:val="24"/>
          <w:szCs w:val="24"/>
        </w:rPr>
        <w:t>no podría entenderse que las actividades exceptuadas puedan realizarse en cualquier parte del territorio nacional, sino sólo en aquellas</w:t>
      </w:r>
      <w:r w:rsidR="000C44C2" w:rsidRPr="000433D1">
        <w:rPr>
          <w:rFonts w:ascii="Book Antiqua" w:hAnsi="Book Antiqua" w:cs="Times New Roman"/>
          <w:i/>
          <w:iCs/>
          <w:sz w:val="24"/>
          <w:szCs w:val="24"/>
        </w:rPr>
        <w:t xml:space="preserve"> en las que implique una manifestación ininterrumpida de tradición de dicha población</w:t>
      </w:r>
      <w:r w:rsidR="000C44C2" w:rsidRPr="000433D1">
        <w:rPr>
          <w:rFonts w:ascii="Book Antiqua" w:hAnsi="Book Antiqua" w:cs="Times New Roman"/>
          <w:sz w:val="24"/>
          <w:szCs w:val="24"/>
        </w:rPr>
        <w:t>;</w:t>
      </w:r>
      <w:r w:rsidR="00D1511B" w:rsidRPr="000433D1">
        <w:rPr>
          <w:rStyle w:val="Refdenotaalpie"/>
          <w:rFonts w:ascii="Book Antiqua" w:hAnsi="Book Antiqua" w:cs="Times New Roman"/>
          <w:sz w:val="24"/>
          <w:szCs w:val="24"/>
        </w:rPr>
        <w:footnoteReference w:id="5"/>
      </w:r>
      <w:r w:rsidR="000C44C2" w:rsidRPr="000433D1">
        <w:rPr>
          <w:rFonts w:ascii="Book Antiqua" w:hAnsi="Book Antiqua" w:cs="Times New Roman"/>
          <w:sz w:val="24"/>
          <w:szCs w:val="24"/>
        </w:rPr>
        <w:t xml:space="preserve"> </w:t>
      </w:r>
      <w:r w:rsidR="000C44C2" w:rsidRPr="000433D1">
        <w:rPr>
          <w:rFonts w:ascii="Book Antiqua" w:hAnsi="Book Antiqua" w:cs="Times New Roman"/>
          <w:b/>
          <w:bCs/>
          <w:i/>
          <w:iCs/>
          <w:sz w:val="24"/>
          <w:szCs w:val="24"/>
        </w:rPr>
        <w:t>(</w:t>
      </w:r>
      <w:proofErr w:type="spellStart"/>
      <w:r w:rsidR="000C44C2" w:rsidRPr="000433D1">
        <w:rPr>
          <w:rFonts w:ascii="Book Antiqua" w:hAnsi="Book Antiqua" w:cs="Times New Roman"/>
          <w:b/>
          <w:bCs/>
          <w:i/>
          <w:iCs/>
          <w:sz w:val="24"/>
          <w:szCs w:val="24"/>
        </w:rPr>
        <w:t>iii</w:t>
      </w:r>
      <w:proofErr w:type="spellEnd"/>
      <w:r w:rsidR="000C44C2" w:rsidRPr="000433D1">
        <w:rPr>
          <w:rFonts w:ascii="Book Antiqua" w:hAnsi="Book Antiqua" w:cs="Times New Roman"/>
          <w:b/>
          <w:bCs/>
          <w:i/>
          <w:iCs/>
          <w:sz w:val="24"/>
          <w:szCs w:val="24"/>
        </w:rPr>
        <w:t>)</w:t>
      </w:r>
      <w:r w:rsidR="000C44C2" w:rsidRPr="000433D1">
        <w:rPr>
          <w:rFonts w:ascii="Book Antiqua" w:hAnsi="Book Antiqua" w:cs="Times New Roman"/>
          <w:sz w:val="24"/>
          <w:szCs w:val="24"/>
        </w:rPr>
        <w:t xml:space="preserve"> que la realización de dichas actividades debe estar limitadas a las precisas ocasiones en que usualmente se han realizado, “</w:t>
      </w:r>
      <w:r w:rsidR="000C44C2" w:rsidRPr="000433D1">
        <w:rPr>
          <w:rFonts w:ascii="Book Antiqua" w:hAnsi="Book Antiqua" w:cs="Times New Roman"/>
          <w:i/>
          <w:iCs/>
          <w:sz w:val="24"/>
          <w:szCs w:val="24"/>
        </w:rPr>
        <w:t xml:space="preserve">no pudiendo extenderse a otros momentos del año o lugares distintos a aquellos en los que resulta </w:t>
      </w:r>
      <w:r w:rsidR="000C44C2" w:rsidRPr="000433D1">
        <w:rPr>
          <w:rFonts w:ascii="Book Antiqua" w:hAnsi="Book Antiqua" w:cs="Times New Roman"/>
          <w:i/>
          <w:iCs/>
          <w:sz w:val="24"/>
          <w:szCs w:val="24"/>
        </w:rPr>
        <w:lastRenderedPageBreak/>
        <w:t>tradicional su realización</w:t>
      </w:r>
      <w:r w:rsidR="000C44C2" w:rsidRPr="000433D1">
        <w:rPr>
          <w:rFonts w:ascii="Book Antiqua" w:hAnsi="Book Antiqua" w:cs="Times New Roman"/>
          <w:sz w:val="24"/>
          <w:szCs w:val="24"/>
        </w:rPr>
        <w:t>”;</w:t>
      </w:r>
      <w:r w:rsidR="00D1511B" w:rsidRPr="000433D1">
        <w:rPr>
          <w:rStyle w:val="Refdenotaalpie"/>
          <w:rFonts w:ascii="Book Antiqua" w:hAnsi="Book Antiqua" w:cs="Times New Roman"/>
          <w:sz w:val="24"/>
          <w:szCs w:val="24"/>
        </w:rPr>
        <w:footnoteReference w:id="6"/>
      </w:r>
      <w:r w:rsidR="000C44C2" w:rsidRPr="000433D1">
        <w:rPr>
          <w:rFonts w:ascii="Book Antiqua" w:hAnsi="Book Antiqua" w:cs="Times New Roman"/>
          <w:sz w:val="24"/>
          <w:szCs w:val="24"/>
        </w:rPr>
        <w:t xml:space="preserve"> </w:t>
      </w:r>
      <w:r w:rsidR="000C44C2" w:rsidRPr="000433D1">
        <w:rPr>
          <w:rFonts w:ascii="Book Antiqua" w:hAnsi="Book Antiqua" w:cs="Times New Roman"/>
          <w:b/>
          <w:bCs/>
          <w:i/>
          <w:iCs/>
          <w:sz w:val="24"/>
          <w:szCs w:val="24"/>
        </w:rPr>
        <w:t>(</w:t>
      </w:r>
      <w:proofErr w:type="spellStart"/>
      <w:r w:rsidR="000C44C2" w:rsidRPr="000433D1">
        <w:rPr>
          <w:rFonts w:ascii="Book Antiqua" w:hAnsi="Book Antiqua" w:cs="Times New Roman"/>
          <w:b/>
          <w:bCs/>
          <w:i/>
          <w:iCs/>
          <w:sz w:val="24"/>
          <w:szCs w:val="24"/>
        </w:rPr>
        <w:t>iv</w:t>
      </w:r>
      <w:proofErr w:type="spellEnd"/>
      <w:r w:rsidR="000C44C2" w:rsidRPr="000433D1">
        <w:rPr>
          <w:rFonts w:ascii="Book Antiqua" w:hAnsi="Book Antiqua" w:cs="Times New Roman"/>
          <w:b/>
          <w:bCs/>
          <w:i/>
          <w:iCs/>
          <w:sz w:val="24"/>
          <w:szCs w:val="24"/>
        </w:rPr>
        <w:t>)</w:t>
      </w:r>
      <w:r w:rsidR="000C44C2" w:rsidRPr="000433D1">
        <w:rPr>
          <w:rFonts w:ascii="Book Antiqua" w:hAnsi="Book Antiqua" w:cs="Times New Roman"/>
          <w:sz w:val="24"/>
          <w:szCs w:val="24"/>
        </w:rPr>
        <w:t xml:space="preserve"> que sólo se entienden manifestaciones culturales aquellas que se encuentran enunciadas en la norma;</w:t>
      </w:r>
      <w:r w:rsidR="00D1511B" w:rsidRPr="000433D1">
        <w:rPr>
          <w:rStyle w:val="Refdenotaalpie"/>
          <w:rFonts w:ascii="Book Antiqua" w:hAnsi="Book Antiqua" w:cs="Times New Roman"/>
          <w:sz w:val="24"/>
          <w:szCs w:val="24"/>
        </w:rPr>
        <w:footnoteReference w:id="7"/>
      </w:r>
      <w:r w:rsidR="000C44C2" w:rsidRPr="000433D1">
        <w:rPr>
          <w:rFonts w:ascii="Book Antiqua" w:hAnsi="Book Antiqua" w:cs="Times New Roman"/>
          <w:sz w:val="24"/>
          <w:szCs w:val="24"/>
        </w:rPr>
        <w:t xml:space="preserve"> y, </w:t>
      </w:r>
      <w:r w:rsidR="000C44C2" w:rsidRPr="000433D1">
        <w:rPr>
          <w:rFonts w:ascii="Book Antiqua" w:hAnsi="Book Antiqua" w:cs="Times New Roman"/>
          <w:b/>
          <w:bCs/>
          <w:i/>
          <w:iCs/>
          <w:sz w:val="24"/>
          <w:szCs w:val="24"/>
        </w:rPr>
        <w:t>(v)</w:t>
      </w:r>
      <w:r w:rsidR="000C44C2" w:rsidRPr="000433D1">
        <w:rPr>
          <w:rFonts w:ascii="Book Antiqua" w:hAnsi="Book Antiqua" w:cs="Times New Roman"/>
          <w:sz w:val="24"/>
          <w:szCs w:val="24"/>
        </w:rPr>
        <w:t xml:space="preserve"> las autoridades municipales no podrán destinar dinero público para la construcción de instalaciones para la realización exclusiva de estas actividades.</w:t>
      </w:r>
      <w:r w:rsidR="00D1511B" w:rsidRPr="000433D1">
        <w:rPr>
          <w:rStyle w:val="Refdenotaalpie"/>
          <w:rFonts w:ascii="Book Antiqua" w:hAnsi="Book Antiqua" w:cs="Times New Roman"/>
          <w:sz w:val="24"/>
          <w:szCs w:val="24"/>
        </w:rPr>
        <w:footnoteReference w:id="8"/>
      </w:r>
    </w:p>
    <w:p w14:paraId="4B415B5E" w14:textId="77777777" w:rsidR="008443CE" w:rsidRPr="000433D1" w:rsidRDefault="008443CE" w:rsidP="00746A5C">
      <w:pPr>
        <w:spacing w:after="0" w:line="240" w:lineRule="auto"/>
        <w:jc w:val="both"/>
        <w:rPr>
          <w:rFonts w:ascii="Book Antiqua" w:hAnsi="Book Antiqua" w:cs="Times New Roman"/>
          <w:sz w:val="24"/>
          <w:szCs w:val="24"/>
        </w:rPr>
      </w:pPr>
    </w:p>
    <w:p w14:paraId="7D1EF743" w14:textId="14908BB6" w:rsidR="00FB51B7" w:rsidRPr="000433D1" w:rsidRDefault="008443CE" w:rsidP="00746A5C">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 xml:space="preserve">En ese sentido, la Corte Constitucional impuso los siguientes límites a la realización de los espectáculos taurinos: (i) </w:t>
      </w:r>
      <w:r w:rsidR="006A5441" w:rsidRPr="000433D1">
        <w:rPr>
          <w:rFonts w:ascii="Book Antiqua" w:hAnsi="Book Antiqua" w:cs="Times New Roman"/>
          <w:sz w:val="24"/>
          <w:szCs w:val="24"/>
        </w:rPr>
        <w:t>los espectáculos taurinos, definidos en la Ley 916 de 2004, proceden en los municipios donde los espectáculos de toros “</w:t>
      </w:r>
      <w:r w:rsidR="006A5441" w:rsidRPr="000433D1">
        <w:rPr>
          <w:rFonts w:ascii="Book Antiqua" w:hAnsi="Book Antiqua" w:cs="Times New Roman"/>
          <w:i/>
          <w:iCs/>
          <w:sz w:val="24"/>
          <w:szCs w:val="24"/>
        </w:rPr>
        <w:t>sean una manifestación de una tradición regular, periódica e ininterrumpida</w:t>
      </w:r>
      <w:r w:rsidR="006A5441" w:rsidRPr="000433D1">
        <w:rPr>
          <w:rFonts w:ascii="Book Antiqua" w:hAnsi="Book Antiqua" w:cs="Times New Roman"/>
          <w:sz w:val="24"/>
          <w:szCs w:val="24"/>
        </w:rPr>
        <w:t>”</w:t>
      </w:r>
      <w:r w:rsidR="009D2C94" w:rsidRPr="000433D1">
        <w:rPr>
          <w:rStyle w:val="Refdenotaalpie"/>
          <w:rFonts w:ascii="Book Antiqua" w:hAnsi="Book Antiqua" w:cs="Times New Roman"/>
          <w:sz w:val="24"/>
          <w:szCs w:val="24"/>
        </w:rPr>
        <w:footnoteReference w:id="9"/>
      </w:r>
      <w:r w:rsidR="00EF6BEE" w:rsidRPr="000433D1">
        <w:rPr>
          <w:rFonts w:ascii="Book Antiqua" w:hAnsi="Book Antiqua" w:cs="Times New Roman"/>
          <w:sz w:val="24"/>
          <w:szCs w:val="24"/>
        </w:rPr>
        <w:t xml:space="preserve"> -</w:t>
      </w:r>
      <w:r w:rsidR="00EF6BEE" w:rsidRPr="000433D1">
        <w:rPr>
          <w:rFonts w:ascii="Book Antiqua" w:hAnsi="Book Antiqua" w:cs="Times New Roman"/>
          <w:b/>
          <w:bCs/>
          <w:i/>
          <w:iCs/>
          <w:sz w:val="24"/>
          <w:szCs w:val="24"/>
        </w:rPr>
        <w:t>limitación geográfica y social</w:t>
      </w:r>
      <w:r w:rsidR="00EF6BEE" w:rsidRPr="000433D1">
        <w:rPr>
          <w:rFonts w:ascii="Book Antiqua" w:hAnsi="Book Antiqua" w:cs="Times New Roman"/>
          <w:sz w:val="24"/>
          <w:szCs w:val="24"/>
        </w:rPr>
        <w:t>-</w:t>
      </w:r>
      <w:r w:rsidR="006A5441" w:rsidRPr="000433D1">
        <w:rPr>
          <w:rFonts w:ascii="Book Antiqua" w:hAnsi="Book Antiqua" w:cs="Times New Roman"/>
          <w:sz w:val="24"/>
          <w:szCs w:val="24"/>
        </w:rPr>
        <w:t>, en temporadas donde se realizan de manera usual en los territorios</w:t>
      </w:r>
      <w:r w:rsidR="009D2C94" w:rsidRPr="000433D1">
        <w:rPr>
          <w:rStyle w:val="Refdenotaalpie"/>
          <w:rFonts w:ascii="Book Antiqua" w:hAnsi="Book Antiqua" w:cs="Times New Roman"/>
          <w:sz w:val="24"/>
          <w:szCs w:val="24"/>
        </w:rPr>
        <w:footnoteReference w:id="10"/>
      </w:r>
      <w:r w:rsidR="00EF6BEE" w:rsidRPr="000433D1">
        <w:rPr>
          <w:rFonts w:ascii="Book Antiqua" w:hAnsi="Book Antiqua" w:cs="Times New Roman"/>
          <w:sz w:val="24"/>
          <w:szCs w:val="24"/>
        </w:rPr>
        <w:t xml:space="preserve"> -</w:t>
      </w:r>
      <w:r w:rsidR="00EF6BEE" w:rsidRPr="000433D1">
        <w:rPr>
          <w:rFonts w:ascii="Book Antiqua" w:hAnsi="Book Antiqua" w:cs="Times New Roman"/>
          <w:b/>
          <w:bCs/>
          <w:i/>
          <w:iCs/>
          <w:sz w:val="24"/>
          <w:szCs w:val="24"/>
        </w:rPr>
        <w:t>limitación temporal</w:t>
      </w:r>
      <w:r w:rsidR="00EF6BEE" w:rsidRPr="000433D1">
        <w:rPr>
          <w:rFonts w:ascii="Book Antiqua" w:hAnsi="Book Antiqua" w:cs="Times New Roman"/>
          <w:sz w:val="24"/>
          <w:szCs w:val="24"/>
        </w:rPr>
        <w:t>- y sin que puedan destinarse recursos públicos para la “</w:t>
      </w:r>
      <w:r w:rsidR="00EF6BEE" w:rsidRPr="000433D1">
        <w:rPr>
          <w:rFonts w:ascii="Book Antiqua" w:hAnsi="Book Antiqua" w:cs="Times New Roman"/>
          <w:i/>
          <w:iCs/>
          <w:sz w:val="24"/>
          <w:szCs w:val="24"/>
        </w:rPr>
        <w:t>construcción de instalaciones para la realización exclusiva de estas actividades</w:t>
      </w:r>
      <w:r w:rsidR="00EF6BEE" w:rsidRPr="000433D1">
        <w:rPr>
          <w:rFonts w:ascii="Book Antiqua" w:hAnsi="Book Antiqua" w:cs="Times New Roman"/>
          <w:sz w:val="24"/>
          <w:szCs w:val="24"/>
        </w:rPr>
        <w:t>”</w:t>
      </w:r>
      <w:r w:rsidR="009D2C94" w:rsidRPr="000433D1">
        <w:rPr>
          <w:rStyle w:val="Refdenotaalpie"/>
          <w:rFonts w:ascii="Book Antiqua" w:hAnsi="Book Antiqua" w:cs="Times New Roman"/>
          <w:sz w:val="24"/>
          <w:szCs w:val="24"/>
        </w:rPr>
        <w:footnoteReference w:id="11"/>
      </w:r>
      <w:r w:rsidR="00EF6BEE" w:rsidRPr="000433D1">
        <w:rPr>
          <w:rFonts w:ascii="Book Antiqua" w:hAnsi="Book Antiqua" w:cs="Times New Roman"/>
          <w:sz w:val="24"/>
          <w:szCs w:val="24"/>
        </w:rPr>
        <w:t xml:space="preserve"> -</w:t>
      </w:r>
      <w:r w:rsidR="00EF6BEE" w:rsidRPr="000433D1">
        <w:rPr>
          <w:rFonts w:ascii="Book Antiqua" w:hAnsi="Book Antiqua" w:cs="Times New Roman"/>
          <w:b/>
          <w:bCs/>
          <w:i/>
          <w:iCs/>
          <w:sz w:val="24"/>
          <w:szCs w:val="24"/>
        </w:rPr>
        <w:t>limitación económica</w:t>
      </w:r>
      <w:r w:rsidR="00EF6BEE" w:rsidRPr="000433D1">
        <w:rPr>
          <w:rFonts w:ascii="Book Antiqua" w:hAnsi="Book Antiqua" w:cs="Times New Roman"/>
          <w:sz w:val="24"/>
          <w:szCs w:val="24"/>
        </w:rPr>
        <w:t>-. Estas limitaciones, a su vez, se entienden como restricciones a derechos tales como el acceso a la cultura, a la libertad de expresión artística, al trabajo o al libre desarrollo de la personalidad, las cuales están constitucionalmente justificadas de acuerdo con la sentencia C-666 de 2010.</w:t>
      </w:r>
      <w:r w:rsidR="009D2C94" w:rsidRPr="000433D1">
        <w:rPr>
          <w:rStyle w:val="Refdenotaalpie"/>
          <w:rFonts w:ascii="Book Antiqua" w:hAnsi="Book Antiqua" w:cs="Times New Roman"/>
          <w:sz w:val="24"/>
          <w:szCs w:val="24"/>
        </w:rPr>
        <w:footnoteReference w:id="12"/>
      </w:r>
    </w:p>
    <w:p w14:paraId="631D390E" w14:textId="7322A719" w:rsidR="00533CBE" w:rsidRPr="000433D1" w:rsidRDefault="00533CBE" w:rsidP="00746A5C">
      <w:pPr>
        <w:spacing w:after="0" w:line="240" w:lineRule="auto"/>
        <w:jc w:val="both"/>
        <w:rPr>
          <w:rFonts w:ascii="Book Antiqua" w:hAnsi="Book Antiqua" w:cs="Times New Roman"/>
          <w:sz w:val="24"/>
          <w:szCs w:val="24"/>
        </w:rPr>
      </w:pPr>
    </w:p>
    <w:p w14:paraId="13716232" w14:textId="4F12A18F" w:rsidR="00533CBE" w:rsidRPr="000433D1" w:rsidRDefault="00533CBE" w:rsidP="00D22A45">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 xml:space="preserve">Posteriormente, la </w:t>
      </w:r>
      <w:r w:rsidR="005E3C82" w:rsidRPr="000433D1">
        <w:rPr>
          <w:rFonts w:ascii="Book Antiqua" w:hAnsi="Book Antiqua" w:cs="Times New Roman"/>
          <w:sz w:val="24"/>
          <w:szCs w:val="24"/>
        </w:rPr>
        <w:t>j</w:t>
      </w:r>
      <w:r w:rsidRPr="000433D1">
        <w:rPr>
          <w:rFonts w:ascii="Book Antiqua" w:hAnsi="Book Antiqua" w:cs="Times New Roman"/>
          <w:sz w:val="24"/>
          <w:szCs w:val="24"/>
        </w:rPr>
        <w:t>urisprudencia constitucional</w:t>
      </w:r>
      <w:r w:rsidR="009D2C94" w:rsidRPr="000433D1">
        <w:rPr>
          <w:rFonts w:ascii="Book Antiqua" w:hAnsi="Book Antiqua" w:cs="Times New Roman"/>
          <w:sz w:val="24"/>
          <w:szCs w:val="24"/>
        </w:rPr>
        <w:t xml:space="preserve"> (</w:t>
      </w:r>
      <w:r w:rsidR="009D2C94" w:rsidRPr="000433D1">
        <w:rPr>
          <w:rFonts w:ascii="Book Antiqua" w:hAnsi="Book Antiqua" w:cs="Times New Roman"/>
          <w:b/>
          <w:bCs/>
          <w:sz w:val="24"/>
          <w:szCs w:val="24"/>
        </w:rPr>
        <w:t>Sentencias C-889 de 2012 y SU-056 de 2018</w:t>
      </w:r>
      <w:r w:rsidR="009D2C94" w:rsidRPr="000433D1">
        <w:rPr>
          <w:rStyle w:val="Refdenotaalpie"/>
          <w:rFonts w:ascii="Book Antiqua" w:hAnsi="Book Antiqua" w:cs="Times New Roman"/>
          <w:b/>
          <w:bCs/>
          <w:sz w:val="24"/>
          <w:szCs w:val="24"/>
        </w:rPr>
        <w:footnoteReference w:id="13"/>
      </w:r>
      <w:r w:rsidR="009D2C94" w:rsidRPr="000433D1">
        <w:rPr>
          <w:rFonts w:ascii="Book Antiqua" w:hAnsi="Book Antiqua" w:cs="Times New Roman"/>
          <w:sz w:val="24"/>
          <w:szCs w:val="24"/>
        </w:rPr>
        <w:t>)</w:t>
      </w:r>
      <w:r w:rsidRPr="000433D1">
        <w:rPr>
          <w:rFonts w:ascii="Book Antiqua" w:hAnsi="Book Antiqua" w:cs="Times New Roman"/>
          <w:sz w:val="24"/>
          <w:szCs w:val="24"/>
        </w:rPr>
        <w:t xml:space="preserve"> </w:t>
      </w:r>
      <w:r w:rsidR="00027F22" w:rsidRPr="000433D1">
        <w:rPr>
          <w:rFonts w:ascii="Book Antiqua" w:hAnsi="Book Antiqua" w:cs="Times New Roman"/>
          <w:sz w:val="24"/>
          <w:szCs w:val="24"/>
        </w:rPr>
        <w:t>reiteró</w:t>
      </w:r>
      <w:r w:rsidRPr="000433D1">
        <w:rPr>
          <w:rFonts w:ascii="Book Antiqua" w:hAnsi="Book Antiqua" w:cs="Times New Roman"/>
          <w:sz w:val="24"/>
          <w:szCs w:val="24"/>
        </w:rPr>
        <w:t xml:space="preserve"> que le corresponde al Congreso de la República </w:t>
      </w:r>
      <w:r w:rsidR="00E605C5" w:rsidRPr="000433D1">
        <w:rPr>
          <w:rFonts w:ascii="Book Antiqua" w:hAnsi="Book Antiqua" w:cs="Times New Roman"/>
          <w:sz w:val="24"/>
          <w:szCs w:val="24"/>
        </w:rPr>
        <w:t xml:space="preserve">la adopción de regulaciones </w:t>
      </w:r>
      <w:r w:rsidR="00D22A45" w:rsidRPr="000433D1">
        <w:rPr>
          <w:rFonts w:ascii="Book Antiqua" w:hAnsi="Book Antiqua" w:cs="Times New Roman"/>
          <w:sz w:val="24"/>
          <w:szCs w:val="24"/>
        </w:rPr>
        <w:t xml:space="preserve">de carácter nacional </w:t>
      </w:r>
      <w:r w:rsidR="00E605C5" w:rsidRPr="000433D1">
        <w:rPr>
          <w:rFonts w:ascii="Book Antiqua" w:hAnsi="Book Antiqua" w:cs="Times New Roman"/>
          <w:sz w:val="24"/>
          <w:szCs w:val="24"/>
        </w:rPr>
        <w:t>sobre los espectáculos taurinos</w:t>
      </w:r>
      <w:r w:rsidR="00D22A45" w:rsidRPr="000433D1">
        <w:rPr>
          <w:rFonts w:ascii="Book Antiqua" w:hAnsi="Book Antiqua" w:cs="Times New Roman"/>
          <w:sz w:val="24"/>
          <w:szCs w:val="24"/>
        </w:rPr>
        <w:t xml:space="preserve"> -conforme los </w:t>
      </w:r>
      <w:r w:rsidR="00D22A45" w:rsidRPr="000433D1">
        <w:rPr>
          <w:rFonts w:ascii="Book Antiqua" w:hAnsi="Book Antiqua" w:cs="Times New Roman"/>
          <w:sz w:val="24"/>
          <w:szCs w:val="24"/>
        </w:rPr>
        <w:lastRenderedPageBreak/>
        <w:t>límites previstos en la sentencia C-666 de 2010-</w:t>
      </w:r>
      <w:r w:rsidR="00E605C5" w:rsidRPr="000433D1">
        <w:rPr>
          <w:rFonts w:ascii="Book Antiqua" w:hAnsi="Book Antiqua" w:cs="Times New Roman"/>
          <w:sz w:val="24"/>
          <w:szCs w:val="24"/>
        </w:rPr>
        <w:t>,</w:t>
      </w:r>
      <w:r w:rsidR="00291BC8" w:rsidRPr="000433D1">
        <w:rPr>
          <w:rStyle w:val="Refdenotaalpie"/>
          <w:rFonts w:ascii="Book Antiqua" w:hAnsi="Book Antiqua" w:cs="Times New Roman"/>
          <w:sz w:val="24"/>
          <w:szCs w:val="24"/>
        </w:rPr>
        <w:footnoteReference w:id="14"/>
      </w:r>
      <w:r w:rsidR="00E605C5" w:rsidRPr="000433D1">
        <w:rPr>
          <w:rFonts w:ascii="Book Antiqua" w:hAnsi="Book Antiqua" w:cs="Times New Roman"/>
          <w:sz w:val="24"/>
          <w:szCs w:val="24"/>
        </w:rPr>
        <w:t xml:space="preserve"> </w:t>
      </w:r>
      <w:r w:rsidR="00027F22" w:rsidRPr="000433D1">
        <w:rPr>
          <w:rFonts w:ascii="Book Antiqua" w:hAnsi="Book Antiqua" w:cs="Times New Roman"/>
          <w:sz w:val="24"/>
          <w:szCs w:val="24"/>
        </w:rPr>
        <w:t xml:space="preserve">así como </w:t>
      </w:r>
      <w:r w:rsidR="00E605C5" w:rsidRPr="000433D1">
        <w:rPr>
          <w:rFonts w:ascii="Book Antiqua" w:hAnsi="Book Antiqua" w:cs="Times New Roman"/>
          <w:sz w:val="24"/>
          <w:szCs w:val="24"/>
        </w:rPr>
        <w:t xml:space="preserve">la </w:t>
      </w:r>
      <w:r w:rsidR="00027F22" w:rsidRPr="000433D1">
        <w:rPr>
          <w:rFonts w:ascii="Book Antiqua" w:hAnsi="Book Antiqua" w:cs="Times New Roman"/>
          <w:sz w:val="24"/>
          <w:szCs w:val="24"/>
        </w:rPr>
        <w:t>regla sobre la competencia exclusiva del Legislador para</w:t>
      </w:r>
      <w:r w:rsidR="00E605C5" w:rsidRPr="000433D1">
        <w:rPr>
          <w:rFonts w:ascii="Book Antiqua" w:hAnsi="Book Antiqua" w:cs="Times New Roman"/>
          <w:sz w:val="24"/>
          <w:szCs w:val="24"/>
        </w:rPr>
        <w:t xml:space="preserve"> </w:t>
      </w:r>
      <w:r w:rsidR="00D22A45" w:rsidRPr="000433D1">
        <w:rPr>
          <w:rFonts w:ascii="Book Antiqua" w:hAnsi="Book Antiqua" w:cs="Times New Roman"/>
          <w:b/>
          <w:bCs/>
          <w:i/>
          <w:iCs/>
          <w:sz w:val="24"/>
          <w:szCs w:val="24"/>
        </w:rPr>
        <w:t>(i)</w:t>
      </w:r>
      <w:r w:rsidR="00D22A45" w:rsidRPr="000433D1">
        <w:rPr>
          <w:rFonts w:ascii="Book Antiqua" w:hAnsi="Book Antiqua" w:cs="Times New Roman"/>
          <w:sz w:val="24"/>
          <w:szCs w:val="24"/>
        </w:rPr>
        <w:t xml:space="preserve"> </w:t>
      </w:r>
      <w:r w:rsidR="00E605C5" w:rsidRPr="000433D1">
        <w:rPr>
          <w:rFonts w:ascii="Book Antiqua" w:hAnsi="Book Antiqua" w:cs="Times New Roman"/>
          <w:sz w:val="24"/>
          <w:szCs w:val="24"/>
        </w:rPr>
        <w:t xml:space="preserve">permitir, modificar o eliminar la práctica de los espectáculos taurinos </w:t>
      </w:r>
      <w:r w:rsidR="00027F22" w:rsidRPr="000433D1">
        <w:rPr>
          <w:rFonts w:ascii="Book Antiqua" w:hAnsi="Book Antiqua" w:cs="Times New Roman"/>
          <w:sz w:val="24"/>
          <w:szCs w:val="24"/>
        </w:rPr>
        <w:t>como expresión cultural</w:t>
      </w:r>
      <w:r w:rsidR="00DD7DD5" w:rsidRPr="000433D1">
        <w:rPr>
          <w:rStyle w:val="Refdenotaalpie"/>
          <w:rFonts w:ascii="Book Antiqua" w:hAnsi="Book Antiqua" w:cs="Times New Roman"/>
          <w:sz w:val="24"/>
          <w:szCs w:val="24"/>
        </w:rPr>
        <w:footnoteReference w:id="15"/>
      </w:r>
      <w:r w:rsidR="0029727B" w:rsidRPr="000433D1">
        <w:rPr>
          <w:rFonts w:ascii="Book Antiqua" w:hAnsi="Book Antiqua" w:cs="Times New Roman"/>
          <w:sz w:val="24"/>
          <w:szCs w:val="24"/>
        </w:rPr>
        <w:t xml:space="preserve"> -expresión del poder de policía-</w:t>
      </w:r>
      <w:r w:rsidR="00027F22" w:rsidRPr="000433D1">
        <w:rPr>
          <w:rFonts w:ascii="Book Antiqua" w:hAnsi="Book Antiqua" w:cs="Times New Roman"/>
          <w:sz w:val="24"/>
          <w:szCs w:val="24"/>
        </w:rPr>
        <w:t>.</w:t>
      </w:r>
      <w:r w:rsidR="00D22A45" w:rsidRPr="000433D1">
        <w:rPr>
          <w:rFonts w:ascii="Book Antiqua" w:hAnsi="Book Antiqua" w:cs="Times New Roman"/>
          <w:sz w:val="24"/>
          <w:szCs w:val="24"/>
        </w:rPr>
        <w:t>;</w:t>
      </w:r>
      <w:r w:rsidR="0029727B" w:rsidRPr="000433D1">
        <w:rPr>
          <w:rStyle w:val="Refdenotaalpie"/>
          <w:rFonts w:ascii="Book Antiqua" w:hAnsi="Book Antiqua" w:cs="Times New Roman"/>
          <w:sz w:val="24"/>
          <w:szCs w:val="24"/>
        </w:rPr>
        <w:footnoteReference w:id="16"/>
      </w:r>
      <w:r w:rsidR="00D22A45" w:rsidRPr="000433D1">
        <w:rPr>
          <w:rFonts w:ascii="Book Antiqua" w:hAnsi="Book Antiqua" w:cs="Times New Roman"/>
          <w:sz w:val="24"/>
          <w:szCs w:val="24"/>
        </w:rPr>
        <w:t xml:space="preserve"> (</w:t>
      </w:r>
      <w:proofErr w:type="spellStart"/>
      <w:r w:rsidR="00D22A45" w:rsidRPr="000433D1">
        <w:rPr>
          <w:rFonts w:ascii="Book Antiqua" w:hAnsi="Book Antiqua" w:cs="Times New Roman"/>
          <w:sz w:val="24"/>
          <w:szCs w:val="24"/>
        </w:rPr>
        <w:t>ii</w:t>
      </w:r>
      <w:proofErr w:type="spellEnd"/>
      <w:r w:rsidR="00D22A45" w:rsidRPr="000433D1">
        <w:rPr>
          <w:rFonts w:ascii="Book Antiqua" w:hAnsi="Book Antiqua" w:cs="Times New Roman"/>
          <w:sz w:val="24"/>
          <w:szCs w:val="24"/>
        </w:rPr>
        <w:t>) calificar legalmente los espectáculos taurinos como expresión cultural;</w:t>
      </w:r>
      <w:r w:rsidR="00D22A45" w:rsidRPr="000433D1">
        <w:rPr>
          <w:rStyle w:val="Refdenotaalpie"/>
          <w:rFonts w:ascii="Book Antiqua" w:hAnsi="Book Antiqua" w:cs="Times New Roman"/>
          <w:sz w:val="24"/>
          <w:szCs w:val="24"/>
        </w:rPr>
        <w:footnoteReference w:id="17"/>
      </w:r>
      <w:r w:rsidR="00D22A45" w:rsidRPr="000433D1">
        <w:rPr>
          <w:rFonts w:ascii="Book Antiqua" w:hAnsi="Book Antiqua" w:cs="Times New Roman"/>
          <w:sz w:val="24"/>
          <w:szCs w:val="24"/>
        </w:rPr>
        <w:t xml:space="preserve"> (</w:t>
      </w:r>
      <w:proofErr w:type="spellStart"/>
      <w:r w:rsidR="00D22A45" w:rsidRPr="000433D1">
        <w:rPr>
          <w:rFonts w:ascii="Book Antiqua" w:hAnsi="Book Antiqua" w:cs="Times New Roman"/>
          <w:sz w:val="24"/>
          <w:szCs w:val="24"/>
        </w:rPr>
        <w:t>iii</w:t>
      </w:r>
      <w:proofErr w:type="spellEnd"/>
      <w:r w:rsidR="00D22A45" w:rsidRPr="000433D1">
        <w:rPr>
          <w:rFonts w:ascii="Book Antiqua" w:hAnsi="Book Antiqua" w:cs="Times New Roman"/>
          <w:sz w:val="24"/>
          <w:szCs w:val="24"/>
        </w:rPr>
        <w:t>) la potestad de disponer los bienes territoriales para la realización de estos espectáculos -de acuerdo con los límites previstos en la sentencia C-666 de 2010-.</w:t>
      </w:r>
      <w:r w:rsidR="00D22A45" w:rsidRPr="000433D1">
        <w:rPr>
          <w:rStyle w:val="Refdenotaalpie"/>
          <w:rFonts w:ascii="Book Antiqua" w:hAnsi="Book Antiqua" w:cs="Times New Roman"/>
          <w:sz w:val="24"/>
          <w:szCs w:val="24"/>
        </w:rPr>
        <w:footnoteReference w:id="18"/>
      </w:r>
      <w:r w:rsidR="00027F22" w:rsidRPr="000433D1">
        <w:rPr>
          <w:rFonts w:ascii="Book Antiqua" w:hAnsi="Book Antiqua" w:cs="Times New Roman"/>
          <w:sz w:val="24"/>
          <w:szCs w:val="24"/>
        </w:rPr>
        <w:t xml:space="preserve"> A partir de allí</w:t>
      </w:r>
      <w:r w:rsidR="0029727B" w:rsidRPr="000433D1">
        <w:rPr>
          <w:rFonts w:ascii="Book Antiqua" w:hAnsi="Book Antiqua" w:cs="Times New Roman"/>
          <w:sz w:val="24"/>
          <w:szCs w:val="24"/>
        </w:rPr>
        <w:t xml:space="preserve">, </w:t>
      </w:r>
      <w:r w:rsidR="00C01554" w:rsidRPr="000433D1">
        <w:rPr>
          <w:rFonts w:ascii="Book Antiqua" w:hAnsi="Book Antiqua" w:cs="Times New Roman"/>
          <w:sz w:val="24"/>
          <w:szCs w:val="24"/>
        </w:rPr>
        <w:t xml:space="preserve">se </w:t>
      </w:r>
      <w:r w:rsidR="0029727B" w:rsidRPr="000433D1">
        <w:rPr>
          <w:rFonts w:ascii="Book Antiqua" w:hAnsi="Book Antiqua" w:cs="Times New Roman"/>
          <w:sz w:val="24"/>
          <w:szCs w:val="24"/>
        </w:rPr>
        <w:t xml:space="preserve">consideró que las autoridades administrativas (nacionales </w:t>
      </w:r>
      <w:r w:rsidR="0029727B" w:rsidRPr="000433D1">
        <w:rPr>
          <w:rFonts w:ascii="Book Antiqua" w:hAnsi="Book Antiqua" w:cs="Times New Roman"/>
          <w:sz w:val="24"/>
          <w:szCs w:val="24"/>
        </w:rPr>
        <w:lastRenderedPageBreak/>
        <w:t xml:space="preserve">y territoriales) </w:t>
      </w:r>
      <w:r w:rsidR="0029727B" w:rsidRPr="000433D1">
        <w:rPr>
          <w:rFonts w:ascii="Book Antiqua" w:hAnsi="Book Antiqua" w:cs="Times New Roman"/>
          <w:b/>
          <w:bCs/>
          <w:i/>
          <w:iCs/>
          <w:sz w:val="24"/>
          <w:szCs w:val="24"/>
        </w:rPr>
        <w:t>(</w:t>
      </w:r>
      <w:proofErr w:type="spellStart"/>
      <w:r w:rsidR="0029727B" w:rsidRPr="000433D1">
        <w:rPr>
          <w:rFonts w:ascii="Book Antiqua" w:hAnsi="Book Antiqua" w:cs="Times New Roman"/>
          <w:b/>
          <w:bCs/>
          <w:i/>
          <w:iCs/>
          <w:sz w:val="24"/>
          <w:szCs w:val="24"/>
        </w:rPr>
        <w:t>i</w:t>
      </w:r>
      <w:r w:rsidR="00291BC8" w:rsidRPr="000433D1">
        <w:rPr>
          <w:rFonts w:ascii="Book Antiqua" w:hAnsi="Book Antiqua" w:cs="Times New Roman"/>
          <w:b/>
          <w:bCs/>
          <w:i/>
          <w:iCs/>
          <w:sz w:val="24"/>
          <w:szCs w:val="24"/>
        </w:rPr>
        <w:t>v</w:t>
      </w:r>
      <w:proofErr w:type="spellEnd"/>
      <w:r w:rsidR="0029727B" w:rsidRPr="000433D1">
        <w:rPr>
          <w:rFonts w:ascii="Book Antiqua" w:hAnsi="Book Antiqua" w:cs="Times New Roman"/>
          <w:b/>
          <w:bCs/>
          <w:i/>
          <w:iCs/>
          <w:sz w:val="24"/>
          <w:szCs w:val="24"/>
        </w:rPr>
        <w:t>)</w:t>
      </w:r>
      <w:r w:rsidR="0029727B" w:rsidRPr="000433D1">
        <w:rPr>
          <w:rFonts w:ascii="Book Antiqua" w:hAnsi="Book Antiqua" w:cs="Times New Roman"/>
          <w:sz w:val="24"/>
          <w:szCs w:val="24"/>
        </w:rPr>
        <w:t xml:space="preserve"> operaban como función de policía; y, en consecuencia, </w:t>
      </w:r>
      <w:r w:rsidR="0029727B" w:rsidRPr="000433D1">
        <w:rPr>
          <w:rFonts w:ascii="Book Antiqua" w:hAnsi="Book Antiqua" w:cs="Times New Roman"/>
          <w:b/>
          <w:bCs/>
          <w:i/>
          <w:iCs/>
          <w:sz w:val="24"/>
          <w:szCs w:val="24"/>
        </w:rPr>
        <w:t>(</w:t>
      </w:r>
      <w:r w:rsidR="00291BC8" w:rsidRPr="000433D1">
        <w:rPr>
          <w:rFonts w:ascii="Book Antiqua" w:hAnsi="Book Antiqua" w:cs="Times New Roman"/>
          <w:b/>
          <w:bCs/>
          <w:i/>
          <w:iCs/>
          <w:sz w:val="24"/>
          <w:szCs w:val="24"/>
        </w:rPr>
        <w:t>v</w:t>
      </w:r>
      <w:r w:rsidR="0029727B" w:rsidRPr="000433D1">
        <w:rPr>
          <w:rFonts w:ascii="Book Antiqua" w:hAnsi="Book Antiqua" w:cs="Times New Roman"/>
          <w:b/>
          <w:bCs/>
          <w:i/>
          <w:iCs/>
          <w:sz w:val="24"/>
          <w:szCs w:val="24"/>
        </w:rPr>
        <w:t>)</w:t>
      </w:r>
      <w:r w:rsidR="0029727B" w:rsidRPr="000433D1">
        <w:rPr>
          <w:rFonts w:ascii="Book Antiqua" w:hAnsi="Book Antiqua" w:cs="Times New Roman"/>
          <w:sz w:val="24"/>
          <w:szCs w:val="24"/>
        </w:rPr>
        <w:t xml:space="preserve"> no podían imponer requisitos o limitaciones no previstas en la Ley</w:t>
      </w:r>
      <w:r w:rsidR="00DD7DD5" w:rsidRPr="000433D1">
        <w:rPr>
          <w:rStyle w:val="Refdenotaalpie"/>
          <w:rFonts w:ascii="Book Antiqua" w:hAnsi="Book Antiqua" w:cs="Times New Roman"/>
          <w:sz w:val="24"/>
          <w:szCs w:val="24"/>
        </w:rPr>
        <w:footnoteReference w:id="19"/>
      </w:r>
      <w:r w:rsidR="000E519E" w:rsidRPr="000433D1">
        <w:rPr>
          <w:rFonts w:ascii="Book Antiqua" w:hAnsi="Book Antiqua" w:cs="Times New Roman"/>
          <w:sz w:val="24"/>
          <w:szCs w:val="24"/>
        </w:rPr>
        <w:t xml:space="preserve"> y, por tanto, </w:t>
      </w:r>
      <w:r w:rsidR="00291BC8" w:rsidRPr="000433D1">
        <w:rPr>
          <w:rFonts w:ascii="Book Antiqua" w:hAnsi="Book Antiqua" w:cs="Times New Roman"/>
          <w:b/>
          <w:bCs/>
          <w:i/>
          <w:iCs/>
          <w:sz w:val="24"/>
          <w:szCs w:val="24"/>
        </w:rPr>
        <w:t>(vi)</w:t>
      </w:r>
      <w:r w:rsidR="00291BC8" w:rsidRPr="000433D1">
        <w:rPr>
          <w:rFonts w:ascii="Book Antiqua" w:hAnsi="Book Antiqua" w:cs="Times New Roman"/>
          <w:sz w:val="24"/>
          <w:szCs w:val="24"/>
        </w:rPr>
        <w:t xml:space="preserve"> </w:t>
      </w:r>
      <w:r w:rsidR="000E519E" w:rsidRPr="000433D1">
        <w:rPr>
          <w:rFonts w:ascii="Book Antiqua" w:hAnsi="Book Antiqua" w:cs="Times New Roman"/>
          <w:sz w:val="24"/>
          <w:szCs w:val="24"/>
        </w:rPr>
        <w:t>sus competencias se circunscriben a la autorización o no de la realización de estos espectáculos previo el cumplimiento de los requisitos establecidos en la Ley.</w:t>
      </w:r>
      <w:r w:rsidR="00291BC8" w:rsidRPr="000433D1">
        <w:rPr>
          <w:rStyle w:val="Refdenotaalpie"/>
          <w:rFonts w:ascii="Book Antiqua" w:hAnsi="Book Antiqua" w:cs="Times New Roman"/>
          <w:sz w:val="24"/>
          <w:szCs w:val="24"/>
        </w:rPr>
        <w:footnoteReference w:id="20"/>
      </w:r>
      <w:r w:rsidR="0029727B" w:rsidRPr="000433D1">
        <w:rPr>
          <w:rFonts w:ascii="Book Antiqua" w:hAnsi="Book Antiqua" w:cs="Times New Roman"/>
          <w:sz w:val="24"/>
          <w:szCs w:val="24"/>
        </w:rPr>
        <w:t xml:space="preserve"> </w:t>
      </w:r>
    </w:p>
    <w:p w14:paraId="4AA8D789" w14:textId="4284B0F0" w:rsidR="00EF24E8" w:rsidRPr="000433D1" w:rsidRDefault="00EF24E8" w:rsidP="00D22A45">
      <w:pPr>
        <w:spacing w:after="0" w:line="240" w:lineRule="auto"/>
        <w:jc w:val="both"/>
        <w:rPr>
          <w:rFonts w:ascii="Book Antiqua" w:hAnsi="Book Antiqua" w:cs="Times New Roman"/>
          <w:sz w:val="24"/>
          <w:szCs w:val="24"/>
        </w:rPr>
      </w:pPr>
    </w:p>
    <w:p w14:paraId="7784CFB6" w14:textId="2C7B67CC" w:rsidR="00EF24E8" w:rsidRPr="000433D1" w:rsidRDefault="00EF24E8" w:rsidP="00D22A45">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 xml:space="preserve">Las posiciones realizadas por la Corte Constitucional respecto a las autoridades territoriales no implican la negación de que, al interior de los municipios o distritos no exista la posibilidad de que se discuta democráticamente si las actividades taurinas se constituyen en una actividad arraigada culturalmente dentro de su territorio. Por el contrario, como se observa a lo largo de sus posiciones judiciales, la Corte Constitucional ha insistido en que estas prácticas deben realizarse dentro de los municipios o distritos donde existe una correlación entre dicha actividad y su comprensión cultural. </w:t>
      </w:r>
    </w:p>
    <w:p w14:paraId="1549BBAD" w14:textId="77777777" w:rsidR="00D96004" w:rsidRPr="000433D1" w:rsidRDefault="00D96004" w:rsidP="00D22A45">
      <w:pPr>
        <w:spacing w:after="0" w:line="240" w:lineRule="auto"/>
        <w:jc w:val="both"/>
        <w:rPr>
          <w:rFonts w:ascii="Book Antiqua" w:hAnsi="Book Antiqua" w:cs="Times New Roman"/>
          <w:sz w:val="24"/>
          <w:szCs w:val="24"/>
        </w:rPr>
      </w:pPr>
    </w:p>
    <w:p w14:paraId="079E1440" w14:textId="567BA1AE" w:rsidR="0057485B" w:rsidRPr="000433D1" w:rsidRDefault="0057485B" w:rsidP="00746A5C">
      <w:pPr>
        <w:spacing w:after="0" w:line="240" w:lineRule="auto"/>
        <w:jc w:val="both"/>
        <w:rPr>
          <w:rFonts w:ascii="Book Antiqua" w:hAnsi="Book Antiqua" w:cs="Times New Roman"/>
          <w:sz w:val="24"/>
          <w:szCs w:val="24"/>
        </w:rPr>
      </w:pPr>
    </w:p>
    <w:p w14:paraId="5FF68685" w14:textId="2F0B081F" w:rsidR="0057485B" w:rsidRPr="000433D1" w:rsidRDefault="0057485B" w:rsidP="00F51B34">
      <w:pPr>
        <w:pStyle w:val="Prrafodelista"/>
        <w:numPr>
          <w:ilvl w:val="0"/>
          <w:numId w:val="3"/>
        </w:numPr>
        <w:spacing w:after="0" w:line="240" w:lineRule="auto"/>
        <w:ind w:left="0" w:firstLine="0"/>
        <w:jc w:val="both"/>
        <w:rPr>
          <w:rFonts w:ascii="Book Antiqua" w:hAnsi="Book Antiqua" w:cs="Times New Roman"/>
          <w:b/>
          <w:bCs/>
          <w:sz w:val="24"/>
          <w:szCs w:val="24"/>
        </w:rPr>
      </w:pPr>
      <w:r w:rsidRPr="000433D1">
        <w:rPr>
          <w:rFonts w:ascii="Book Antiqua" w:hAnsi="Book Antiqua" w:cs="Times New Roman"/>
          <w:b/>
          <w:bCs/>
          <w:sz w:val="24"/>
          <w:szCs w:val="24"/>
        </w:rPr>
        <w:lastRenderedPageBreak/>
        <w:t xml:space="preserve">La posibilidad constitucional de que las autoridades territoriales definan si los espectáculos taurinos son una manifestación ininterrumpida dentro del ámbito de su </w:t>
      </w:r>
      <w:r w:rsidR="00F51B34" w:rsidRPr="000433D1">
        <w:rPr>
          <w:rFonts w:ascii="Book Antiqua" w:hAnsi="Book Antiqua" w:cs="Times New Roman"/>
          <w:b/>
          <w:bCs/>
          <w:sz w:val="24"/>
          <w:szCs w:val="24"/>
        </w:rPr>
        <w:t>territorio</w:t>
      </w:r>
    </w:p>
    <w:p w14:paraId="127BDB66" w14:textId="77777777" w:rsidR="00101B42" w:rsidRPr="000433D1" w:rsidRDefault="00101B42" w:rsidP="00746A5C">
      <w:pPr>
        <w:spacing w:after="0" w:line="240" w:lineRule="auto"/>
        <w:jc w:val="both"/>
        <w:rPr>
          <w:rFonts w:ascii="Book Antiqua" w:hAnsi="Book Antiqua" w:cs="Times New Roman"/>
          <w:sz w:val="24"/>
          <w:szCs w:val="24"/>
        </w:rPr>
      </w:pPr>
    </w:p>
    <w:p w14:paraId="4C017FE2" w14:textId="2CBA3377" w:rsidR="00F813AD" w:rsidRPr="000433D1" w:rsidRDefault="00101B42" w:rsidP="00746A5C">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De acuerdo con la jurisprudencia constitucional, no le está permitido a las autoridades territoriales definir sobre la permisión o prohibición de las actividades taurinas dentro de su jurisdicción</w:t>
      </w:r>
      <w:r w:rsidR="00045458" w:rsidRPr="000433D1">
        <w:rPr>
          <w:rFonts w:ascii="Book Antiqua" w:hAnsi="Book Antiqua" w:cs="Times New Roman"/>
          <w:sz w:val="24"/>
          <w:szCs w:val="24"/>
        </w:rPr>
        <w:t xml:space="preserve"> o imponer requisitos o condiciones más intensos que las previstas en la Ley</w:t>
      </w:r>
      <w:r w:rsidRPr="000433D1">
        <w:rPr>
          <w:rFonts w:ascii="Book Antiqua" w:hAnsi="Book Antiqua" w:cs="Times New Roman"/>
          <w:sz w:val="24"/>
          <w:szCs w:val="24"/>
        </w:rPr>
        <w:t>, pues, por una parte, ello le corresponde al Congreso de la República</w:t>
      </w:r>
      <w:r w:rsidR="00045458" w:rsidRPr="000433D1">
        <w:rPr>
          <w:rStyle w:val="Refdenotaalpie"/>
          <w:rFonts w:ascii="Book Antiqua" w:hAnsi="Book Antiqua" w:cs="Times New Roman"/>
          <w:sz w:val="24"/>
          <w:szCs w:val="24"/>
        </w:rPr>
        <w:footnoteReference w:id="21"/>
      </w:r>
      <w:r w:rsidRPr="000433D1">
        <w:rPr>
          <w:rFonts w:ascii="Book Antiqua" w:hAnsi="Book Antiqua" w:cs="Times New Roman"/>
          <w:sz w:val="24"/>
          <w:szCs w:val="24"/>
        </w:rPr>
        <w:t xml:space="preserve"> y, por la otra, </w:t>
      </w:r>
      <w:r w:rsidR="00045458" w:rsidRPr="000433D1">
        <w:rPr>
          <w:rFonts w:ascii="Book Antiqua" w:hAnsi="Book Antiqua" w:cs="Times New Roman"/>
          <w:sz w:val="24"/>
          <w:szCs w:val="24"/>
        </w:rPr>
        <w:t>el marco de sus funciones respecto a la realización de estas actividades se basa en el principio de legalidad y la función de policía.</w:t>
      </w:r>
      <w:r w:rsidR="00045458" w:rsidRPr="000433D1">
        <w:rPr>
          <w:rStyle w:val="Refdenotaalpie"/>
          <w:rFonts w:ascii="Book Antiqua" w:hAnsi="Book Antiqua" w:cs="Times New Roman"/>
          <w:sz w:val="24"/>
          <w:szCs w:val="24"/>
        </w:rPr>
        <w:footnoteReference w:id="22"/>
      </w:r>
      <w:r w:rsidR="006424A7" w:rsidRPr="000433D1">
        <w:rPr>
          <w:rFonts w:ascii="Book Antiqua" w:hAnsi="Book Antiqua" w:cs="Times New Roman"/>
          <w:sz w:val="24"/>
          <w:szCs w:val="24"/>
        </w:rPr>
        <w:t xml:space="preserve"> En ese sentido, la posibilidad de que las autoridades territoriales puedan determinar si permiten o no el desarrollo de los espectáculos taurinos dentro del ejercicio de su jurisdicción, debe entenderse como la expresión de las facultades correspondientes al ejercicio de la función de policía a nivel territorial, es decir, sobre la posibilidad de realizar este tipo de actividades en el marco del cumplimiento de las condiciones previstas en la Ley.</w:t>
      </w:r>
      <w:r w:rsidR="006424A7" w:rsidRPr="000433D1">
        <w:rPr>
          <w:rStyle w:val="Refdenotaalpie"/>
          <w:rFonts w:ascii="Book Antiqua" w:hAnsi="Book Antiqua" w:cs="Times New Roman"/>
          <w:sz w:val="24"/>
          <w:szCs w:val="24"/>
        </w:rPr>
        <w:footnoteReference w:id="23"/>
      </w:r>
      <w:r w:rsidR="009A4F5E" w:rsidRPr="000433D1">
        <w:rPr>
          <w:rFonts w:ascii="Book Antiqua" w:hAnsi="Book Antiqua" w:cs="Times New Roman"/>
          <w:sz w:val="24"/>
          <w:szCs w:val="24"/>
        </w:rPr>
        <w:t xml:space="preserve"> </w:t>
      </w:r>
      <w:r w:rsidR="00F813AD" w:rsidRPr="000433D1">
        <w:rPr>
          <w:rFonts w:ascii="Book Antiqua" w:hAnsi="Book Antiqua" w:cs="Times New Roman"/>
          <w:sz w:val="24"/>
          <w:szCs w:val="24"/>
        </w:rPr>
        <w:t>Sin embargo, en la sentencia C-666 de 2010, se impuso una serie de limitaciones geográficas, sociales, temporales y económicas para la realización de los espectáculos taurinos</w:t>
      </w:r>
      <w:r w:rsidR="009A4F5E" w:rsidRPr="000433D1">
        <w:rPr>
          <w:rFonts w:ascii="Book Antiqua" w:hAnsi="Book Antiqua" w:cs="Times New Roman"/>
          <w:sz w:val="24"/>
          <w:szCs w:val="24"/>
        </w:rPr>
        <w:t>. Una de ellas es que estas actividades se realicen en aquellos municipios o distritos en los que las mismas sean una manifestación de una tradición regular, periódica e ininterrumpida y que por tanto su realización responda a cierta periodicidad.</w:t>
      </w:r>
      <w:r w:rsidR="009A4F5E" w:rsidRPr="000433D1">
        <w:rPr>
          <w:rStyle w:val="Refdenotaalpie"/>
          <w:rFonts w:ascii="Book Antiqua" w:hAnsi="Book Antiqua" w:cs="Times New Roman"/>
          <w:sz w:val="24"/>
          <w:szCs w:val="24"/>
        </w:rPr>
        <w:footnoteReference w:id="24"/>
      </w:r>
    </w:p>
    <w:p w14:paraId="7E552F9F" w14:textId="2510ED56" w:rsidR="009A4F5E" w:rsidRPr="000433D1" w:rsidRDefault="009A4F5E" w:rsidP="00746A5C">
      <w:pPr>
        <w:spacing w:after="0" w:line="240" w:lineRule="auto"/>
        <w:jc w:val="both"/>
        <w:rPr>
          <w:rFonts w:ascii="Book Antiqua" w:hAnsi="Book Antiqua" w:cs="Times New Roman"/>
          <w:sz w:val="24"/>
          <w:szCs w:val="24"/>
        </w:rPr>
      </w:pPr>
    </w:p>
    <w:p w14:paraId="156DB86A" w14:textId="3348E77F" w:rsidR="009A4F5E" w:rsidRPr="000433D1" w:rsidRDefault="009A4F5E" w:rsidP="00746A5C">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lastRenderedPageBreak/>
        <w:t xml:space="preserve">Como se observó, respecto al desarrollo de las actividades taurinas, la Corte Constitucional consideró que las autoridades territoriales únicamente tienen </w:t>
      </w:r>
      <w:r w:rsidR="00B07CB3" w:rsidRPr="000433D1">
        <w:rPr>
          <w:rFonts w:ascii="Book Antiqua" w:hAnsi="Book Antiqua" w:cs="Times New Roman"/>
          <w:sz w:val="24"/>
          <w:szCs w:val="24"/>
        </w:rPr>
        <w:t>la posibilidad de realizar actos de función de policía. Sin embargo, no ha prohibido a dichas autoridades decidir sobre si este tipo de actividades taurinas son una manifestación cultural, periódica e ininterrumpida dentro de su jurisdicción.</w:t>
      </w:r>
    </w:p>
    <w:p w14:paraId="0EE5BD78" w14:textId="1EA25F44" w:rsidR="00B07CB3" w:rsidRPr="000433D1" w:rsidRDefault="00B07CB3" w:rsidP="00746A5C">
      <w:pPr>
        <w:spacing w:after="0" w:line="240" w:lineRule="auto"/>
        <w:jc w:val="both"/>
        <w:rPr>
          <w:rFonts w:ascii="Book Antiqua" w:hAnsi="Book Antiqua" w:cs="Times New Roman"/>
          <w:sz w:val="24"/>
          <w:szCs w:val="24"/>
        </w:rPr>
      </w:pPr>
    </w:p>
    <w:p w14:paraId="562D6FCB" w14:textId="6053F147" w:rsidR="00B07CB3" w:rsidRPr="000433D1" w:rsidRDefault="00B07CB3" w:rsidP="00746A5C">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 xml:space="preserve">La posibilidad de que las autoridades territoriales definan este asunto es constitucionalmente válida por las </w:t>
      </w:r>
      <w:r w:rsidR="00FF57AF" w:rsidRPr="000433D1">
        <w:rPr>
          <w:rFonts w:ascii="Book Antiqua" w:hAnsi="Book Antiqua" w:cs="Times New Roman"/>
          <w:sz w:val="24"/>
          <w:szCs w:val="24"/>
        </w:rPr>
        <w:t xml:space="preserve">tres </w:t>
      </w:r>
      <w:r w:rsidRPr="000433D1">
        <w:rPr>
          <w:rFonts w:ascii="Book Antiqua" w:hAnsi="Book Antiqua" w:cs="Times New Roman"/>
          <w:sz w:val="24"/>
          <w:szCs w:val="24"/>
        </w:rPr>
        <w:t>siguientes razones</w:t>
      </w:r>
      <w:r w:rsidR="00FF57AF" w:rsidRPr="000433D1">
        <w:rPr>
          <w:rFonts w:ascii="Book Antiqua" w:hAnsi="Book Antiqua" w:cs="Times New Roman"/>
          <w:sz w:val="24"/>
          <w:szCs w:val="24"/>
        </w:rPr>
        <w:t xml:space="preserve">: </w:t>
      </w:r>
      <w:r w:rsidR="00FF57AF" w:rsidRPr="000433D1">
        <w:rPr>
          <w:rFonts w:ascii="Book Antiqua" w:hAnsi="Book Antiqua" w:cs="Times New Roman"/>
          <w:b/>
          <w:bCs/>
          <w:i/>
          <w:iCs/>
          <w:sz w:val="24"/>
          <w:szCs w:val="24"/>
        </w:rPr>
        <w:t>(i)</w:t>
      </w:r>
      <w:r w:rsidR="00FF57AF" w:rsidRPr="000433D1">
        <w:rPr>
          <w:rFonts w:ascii="Book Antiqua" w:hAnsi="Book Antiqua" w:cs="Times New Roman"/>
          <w:sz w:val="24"/>
          <w:szCs w:val="24"/>
        </w:rPr>
        <w:t xml:space="preserve"> la decisión no implica que se agreguen o modifiquen las condiciones previstas por la ley para realizar actividades taurinas; </w:t>
      </w:r>
      <w:r w:rsidR="00FF57AF" w:rsidRPr="000433D1">
        <w:rPr>
          <w:rFonts w:ascii="Book Antiqua" w:hAnsi="Book Antiqua" w:cs="Times New Roman"/>
          <w:b/>
          <w:bCs/>
          <w:i/>
          <w:iCs/>
          <w:sz w:val="24"/>
          <w:szCs w:val="24"/>
        </w:rPr>
        <w:t>(</w:t>
      </w:r>
      <w:proofErr w:type="spellStart"/>
      <w:r w:rsidR="00FF57AF" w:rsidRPr="000433D1">
        <w:rPr>
          <w:rFonts w:ascii="Book Antiqua" w:hAnsi="Book Antiqua" w:cs="Times New Roman"/>
          <w:b/>
          <w:bCs/>
          <w:i/>
          <w:iCs/>
          <w:sz w:val="24"/>
          <w:szCs w:val="24"/>
        </w:rPr>
        <w:t>ii</w:t>
      </w:r>
      <w:proofErr w:type="spellEnd"/>
      <w:r w:rsidR="00FF57AF" w:rsidRPr="000433D1">
        <w:rPr>
          <w:rFonts w:ascii="Book Antiqua" w:hAnsi="Book Antiqua" w:cs="Times New Roman"/>
          <w:b/>
          <w:bCs/>
          <w:i/>
          <w:iCs/>
          <w:sz w:val="24"/>
          <w:szCs w:val="24"/>
        </w:rPr>
        <w:t>)</w:t>
      </w:r>
      <w:r w:rsidR="00FF57AF" w:rsidRPr="000433D1">
        <w:rPr>
          <w:rFonts w:ascii="Book Antiqua" w:hAnsi="Book Antiqua" w:cs="Times New Roman"/>
          <w:sz w:val="24"/>
          <w:szCs w:val="24"/>
        </w:rPr>
        <w:t xml:space="preserve"> se trata de una competencia propia de las entidades territoriales </w:t>
      </w:r>
      <w:r w:rsidR="00697B65" w:rsidRPr="000433D1">
        <w:rPr>
          <w:rFonts w:ascii="Book Antiqua" w:hAnsi="Book Antiqua" w:cs="Times New Roman"/>
          <w:sz w:val="24"/>
          <w:szCs w:val="24"/>
        </w:rPr>
        <w:t xml:space="preserve">para el ejercicio de la función de policía; y, </w:t>
      </w:r>
      <w:r w:rsidR="00697B65" w:rsidRPr="000433D1">
        <w:rPr>
          <w:rFonts w:ascii="Book Antiqua" w:hAnsi="Book Antiqua" w:cs="Times New Roman"/>
          <w:b/>
          <w:bCs/>
          <w:i/>
          <w:iCs/>
          <w:sz w:val="24"/>
          <w:szCs w:val="24"/>
        </w:rPr>
        <w:t>(</w:t>
      </w:r>
      <w:proofErr w:type="spellStart"/>
      <w:r w:rsidR="00697B65" w:rsidRPr="000433D1">
        <w:rPr>
          <w:rFonts w:ascii="Book Antiqua" w:hAnsi="Book Antiqua" w:cs="Times New Roman"/>
          <w:b/>
          <w:bCs/>
          <w:i/>
          <w:iCs/>
          <w:sz w:val="24"/>
          <w:szCs w:val="24"/>
        </w:rPr>
        <w:t>iii</w:t>
      </w:r>
      <w:proofErr w:type="spellEnd"/>
      <w:r w:rsidR="00697B65" w:rsidRPr="000433D1">
        <w:rPr>
          <w:rFonts w:ascii="Book Antiqua" w:hAnsi="Book Antiqua" w:cs="Times New Roman"/>
          <w:b/>
          <w:bCs/>
          <w:i/>
          <w:iCs/>
          <w:sz w:val="24"/>
          <w:szCs w:val="24"/>
        </w:rPr>
        <w:t>)</w:t>
      </w:r>
      <w:r w:rsidR="00697B65" w:rsidRPr="000433D1">
        <w:rPr>
          <w:rFonts w:ascii="Book Antiqua" w:hAnsi="Book Antiqua" w:cs="Times New Roman"/>
          <w:sz w:val="24"/>
          <w:szCs w:val="24"/>
        </w:rPr>
        <w:t xml:space="preserve"> </w:t>
      </w:r>
      <w:r w:rsidR="002D7AB8" w:rsidRPr="000433D1">
        <w:rPr>
          <w:rFonts w:ascii="Book Antiqua" w:hAnsi="Book Antiqua" w:cs="Times New Roman"/>
          <w:sz w:val="24"/>
          <w:szCs w:val="24"/>
        </w:rPr>
        <w:t>la decisión se encuentra respaldada por la jurisprudencia constitucional y, de conformidad con el principio de autonomía territorial, estos asuntos pueden ser decididos por las autoridades territoriales.</w:t>
      </w:r>
    </w:p>
    <w:p w14:paraId="1539CB4B" w14:textId="7CFBAEBA" w:rsidR="00FF57AF" w:rsidRPr="000433D1" w:rsidRDefault="00FF57AF" w:rsidP="00746A5C">
      <w:pPr>
        <w:spacing w:after="0" w:line="240" w:lineRule="auto"/>
        <w:jc w:val="both"/>
        <w:rPr>
          <w:rFonts w:ascii="Book Antiqua" w:hAnsi="Book Antiqua" w:cs="Times New Roman"/>
          <w:sz w:val="24"/>
          <w:szCs w:val="24"/>
        </w:rPr>
      </w:pPr>
    </w:p>
    <w:p w14:paraId="5E6B1D57" w14:textId="6681A4B3" w:rsidR="002D7AB8" w:rsidRPr="000433D1" w:rsidRDefault="00044929" w:rsidP="00746A5C">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En efecto, l</w:t>
      </w:r>
      <w:r w:rsidR="00B7676A" w:rsidRPr="000433D1">
        <w:rPr>
          <w:rFonts w:ascii="Book Antiqua" w:hAnsi="Book Antiqua" w:cs="Times New Roman"/>
          <w:sz w:val="24"/>
          <w:szCs w:val="24"/>
        </w:rPr>
        <w:t>a posibilidad de que las autoridades territoriales decidan si las actividades taurinas tienen una tradición regular, periódica e ininterrumpida dentro de sus territorios es una consecuencia que se deriva de la constitucionalidad condicionada de la sentencia C-666 de 2010 al artículo 7</w:t>
      </w:r>
      <w:r w:rsidR="00B7676A" w:rsidRPr="000433D1">
        <w:rPr>
          <w:rFonts w:ascii="Book Antiqua" w:hAnsi="Book Antiqua" w:cs="Times New Roman"/>
          <w:sz w:val="24"/>
          <w:szCs w:val="24"/>
        </w:rPr>
        <w:tab/>
        <w:t>° de la Ley 84 de 1989</w:t>
      </w:r>
      <w:r w:rsidR="004677CD" w:rsidRPr="000433D1">
        <w:rPr>
          <w:rFonts w:ascii="Book Antiqua" w:hAnsi="Book Antiqua" w:cs="Times New Roman"/>
          <w:sz w:val="24"/>
          <w:szCs w:val="24"/>
        </w:rPr>
        <w:t>. En ese sentido, es una competencia que se encuentra dentro de la le</w:t>
      </w:r>
      <w:r w:rsidR="00C01554" w:rsidRPr="000433D1">
        <w:rPr>
          <w:rFonts w:ascii="Book Antiqua" w:hAnsi="Book Antiqua" w:cs="Times New Roman"/>
          <w:sz w:val="24"/>
          <w:szCs w:val="24"/>
        </w:rPr>
        <w:t>y y su interpretación conforme C</w:t>
      </w:r>
      <w:r w:rsidR="004677CD" w:rsidRPr="000433D1">
        <w:rPr>
          <w:rFonts w:ascii="Book Antiqua" w:hAnsi="Book Antiqua" w:cs="Times New Roman"/>
          <w:sz w:val="24"/>
          <w:szCs w:val="24"/>
        </w:rPr>
        <w:t>onstitución</w:t>
      </w:r>
      <w:r w:rsidR="008C34AF" w:rsidRPr="000433D1">
        <w:rPr>
          <w:rFonts w:ascii="Book Antiqua" w:hAnsi="Book Antiqua" w:cs="Times New Roman"/>
          <w:sz w:val="24"/>
          <w:szCs w:val="24"/>
        </w:rPr>
        <w:t xml:space="preserve"> y, por tal motivo, se trata de un desarrollo de un mandato propio de la ley y la jurisprudencia constitucional.</w:t>
      </w:r>
    </w:p>
    <w:p w14:paraId="14B8B79E" w14:textId="27BA55B0" w:rsidR="002D7AB8" w:rsidRPr="000433D1" w:rsidRDefault="002D7AB8" w:rsidP="00746A5C">
      <w:pPr>
        <w:spacing w:after="0" w:line="240" w:lineRule="auto"/>
        <w:jc w:val="both"/>
        <w:rPr>
          <w:rFonts w:ascii="Book Antiqua" w:hAnsi="Book Antiqua" w:cs="Times New Roman"/>
          <w:sz w:val="24"/>
          <w:szCs w:val="24"/>
        </w:rPr>
      </w:pPr>
    </w:p>
    <w:p w14:paraId="5C4246C3" w14:textId="77777777" w:rsidR="00D96004" w:rsidRPr="000433D1" w:rsidRDefault="00D96004" w:rsidP="00746A5C">
      <w:pPr>
        <w:spacing w:after="0" w:line="240" w:lineRule="auto"/>
        <w:jc w:val="both"/>
        <w:rPr>
          <w:rFonts w:ascii="Book Antiqua" w:hAnsi="Book Antiqua" w:cs="Times New Roman"/>
          <w:sz w:val="24"/>
          <w:szCs w:val="24"/>
        </w:rPr>
      </w:pPr>
    </w:p>
    <w:p w14:paraId="68AFA4A4" w14:textId="087A70B3" w:rsidR="00F81C46" w:rsidRPr="000433D1" w:rsidRDefault="00044929" w:rsidP="00746A5C">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Por otra parte, c</w:t>
      </w:r>
      <w:r w:rsidR="008C34AF" w:rsidRPr="000433D1">
        <w:rPr>
          <w:rFonts w:ascii="Book Antiqua" w:hAnsi="Book Antiqua" w:cs="Times New Roman"/>
          <w:sz w:val="24"/>
          <w:szCs w:val="24"/>
        </w:rPr>
        <w:t xml:space="preserve">omo se ha advertido, la Corte Constitucional ha entendido que las autoridades territoriales únicamente tienen la posibilidad de </w:t>
      </w:r>
      <w:r w:rsidR="00F81C46" w:rsidRPr="000433D1">
        <w:rPr>
          <w:rFonts w:ascii="Book Antiqua" w:hAnsi="Book Antiqua" w:cs="Times New Roman"/>
          <w:sz w:val="24"/>
          <w:szCs w:val="24"/>
        </w:rPr>
        <w:t xml:space="preserve">verificar </w:t>
      </w:r>
      <w:r w:rsidR="00F81C46" w:rsidRPr="000433D1">
        <w:rPr>
          <w:rFonts w:ascii="Book Antiqua" w:hAnsi="Book Antiqua" w:cs="Times New Roman"/>
          <w:b/>
          <w:bCs/>
          <w:i/>
          <w:iCs/>
          <w:sz w:val="24"/>
          <w:szCs w:val="24"/>
        </w:rPr>
        <w:t>(i)</w:t>
      </w:r>
      <w:r w:rsidR="00F81C46" w:rsidRPr="000433D1">
        <w:rPr>
          <w:rFonts w:ascii="Book Antiqua" w:hAnsi="Book Antiqua" w:cs="Times New Roman"/>
          <w:sz w:val="24"/>
          <w:szCs w:val="24"/>
        </w:rPr>
        <w:t xml:space="preserve"> las condiciones legales necesarias para realizar el espectáculo taurino; </w:t>
      </w:r>
      <w:r w:rsidR="00F81C46" w:rsidRPr="000433D1">
        <w:rPr>
          <w:rFonts w:ascii="Book Antiqua" w:hAnsi="Book Antiqua" w:cs="Times New Roman"/>
          <w:b/>
          <w:bCs/>
          <w:i/>
          <w:iCs/>
          <w:sz w:val="24"/>
          <w:szCs w:val="24"/>
        </w:rPr>
        <w:t>(</w:t>
      </w:r>
      <w:proofErr w:type="spellStart"/>
      <w:r w:rsidR="00F81C46" w:rsidRPr="000433D1">
        <w:rPr>
          <w:rFonts w:ascii="Book Antiqua" w:hAnsi="Book Antiqua" w:cs="Times New Roman"/>
          <w:b/>
          <w:bCs/>
          <w:i/>
          <w:iCs/>
          <w:sz w:val="24"/>
          <w:szCs w:val="24"/>
        </w:rPr>
        <w:t>ii</w:t>
      </w:r>
      <w:proofErr w:type="spellEnd"/>
      <w:r w:rsidR="00F81C46" w:rsidRPr="000433D1">
        <w:rPr>
          <w:rFonts w:ascii="Book Antiqua" w:hAnsi="Book Antiqua" w:cs="Times New Roman"/>
          <w:b/>
          <w:bCs/>
          <w:i/>
          <w:iCs/>
          <w:sz w:val="24"/>
          <w:szCs w:val="24"/>
        </w:rPr>
        <w:t>)</w:t>
      </w:r>
      <w:r w:rsidR="00F81C46" w:rsidRPr="000433D1">
        <w:rPr>
          <w:rFonts w:ascii="Book Antiqua" w:hAnsi="Book Antiqua" w:cs="Times New Roman"/>
          <w:sz w:val="24"/>
          <w:szCs w:val="24"/>
        </w:rPr>
        <w:t xml:space="preserve"> los requisitos que sobre aseguramiento del orden público prevea la ley para la celebración de los espectáculos taurinos; y, </w:t>
      </w:r>
      <w:r w:rsidR="00F81C46" w:rsidRPr="000433D1">
        <w:rPr>
          <w:rFonts w:ascii="Book Antiqua" w:hAnsi="Book Antiqua" w:cs="Times New Roman"/>
          <w:b/>
          <w:bCs/>
          <w:i/>
          <w:iCs/>
          <w:sz w:val="24"/>
          <w:szCs w:val="24"/>
        </w:rPr>
        <w:t>(</w:t>
      </w:r>
      <w:proofErr w:type="spellStart"/>
      <w:r w:rsidR="00F81C46" w:rsidRPr="000433D1">
        <w:rPr>
          <w:rFonts w:ascii="Book Antiqua" w:hAnsi="Book Antiqua" w:cs="Times New Roman"/>
          <w:b/>
          <w:bCs/>
          <w:i/>
          <w:iCs/>
          <w:sz w:val="24"/>
          <w:szCs w:val="24"/>
        </w:rPr>
        <w:t>iii</w:t>
      </w:r>
      <w:proofErr w:type="spellEnd"/>
      <w:r w:rsidR="00F81C46" w:rsidRPr="000433D1">
        <w:rPr>
          <w:rFonts w:ascii="Book Antiqua" w:hAnsi="Book Antiqua" w:cs="Times New Roman"/>
          <w:b/>
          <w:bCs/>
          <w:i/>
          <w:iCs/>
          <w:sz w:val="24"/>
          <w:szCs w:val="24"/>
        </w:rPr>
        <w:t>)</w:t>
      </w:r>
      <w:r w:rsidR="00F81C46" w:rsidRPr="000433D1">
        <w:rPr>
          <w:rFonts w:ascii="Book Antiqua" w:hAnsi="Book Antiqua" w:cs="Times New Roman"/>
          <w:sz w:val="24"/>
          <w:szCs w:val="24"/>
        </w:rPr>
        <w:t xml:space="preserve"> el cumplimiento de las condiciones constitucionales de arraigo social, localización, oportunidad y excepcionalidad que fueron ordenadas por la sentencia C-666 de 2010.</w:t>
      </w:r>
      <w:r w:rsidRPr="000433D1">
        <w:rPr>
          <w:rFonts w:ascii="Book Antiqua" w:hAnsi="Book Antiqua" w:cs="Times New Roman"/>
          <w:sz w:val="24"/>
          <w:szCs w:val="24"/>
        </w:rPr>
        <w:t xml:space="preserve"> </w:t>
      </w:r>
      <w:r w:rsidR="00F81C46" w:rsidRPr="000433D1">
        <w:rPr>
          <w:rFonts w:ascii="Book Antiqua" w:hAnsi="Book Antiqua" w:cs="Times New Roman"/>
          <w:sz w:val="24"/>
          <w:szCs w:val="24"/>
        </w:rPr>
        <w:t>En ese sentido, la posibilidad de que las autoridades territoriales definan si las actividades taurinas son una manifestación cultural, periódica e ininterrumpida dentro de su jurisdicción</w:t>
      </w:r>
      <w:r w:rsidRPr="000433D1">
        <w:rPr>
          <w:rFonts w:ascii="Book Antiqua" w:hAnsi="Book Antiqua" w:cs="Times New Roman"/>
          <w:sz w:val="24"/>
          <w:szCs w:val="24"/>
        </w:rPr>
        <w:t xml:space="preserve"> se encuentra dentro del margen administrativo que la Corte Constitucional ha delineado dentro de la función de policía en materia de la realización de espectáculos taurinos.</w:t>
      </w:r>
    </w:p>
    <w:p w14:paraId="3C928029" w14:textId="12565179" w:rsidR="002D7AB8" w:rsidRPr="000433D1" w:rsidRDefault="002D7AB8" w:rsidP="00746A5C">
      <w:pPr>
        <w:spacing w:after="0" w:line="240" w:lineRule="auto"/>
        <w:jc w:val="both"/>
        <w:rPr>
          <w:rFonts w:ascii="Book Antiqua" w:hAnsi="Book Antiqua" w:cs="Times New Roman"/>
          <w:sz w:val="24"/>
          <w:szCs w:val="24"/>
        </w:rPr>
      </w:pPr>
    </w:p>
    <w:p w14:paraId="14805492" w14:textId="00B26413" w:rsidR="00044929" w:rsidRPr="000433D1" w:rsidRDefault="00044929" w:rsidP="00746A5C">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 xml:space="preserve">Finalmente, la posibilidad de que las autoridades territoriales definan si estas actividades expresiones de su cultura en el ámbito de su jurisdicción es una </w:t>
      </w:r>
      <w:r w:rsidRPr="000433D1">
        <w:rPr>
          <w:rFonts w:ascii="Book Antiqua" w:hAnsi="Book Antiqua" w:cs="Times New Roman"/>
          <w:sz w:val="24"/>
          <w:szCs w:val="24"/>
        </w:rPr>
        <w:lastRenderedPageBreak/>
        <w:t xml:space="preserve">concreción del principio de autonomía territorial. </w:t>
      </w:r>
      <w:r w:rsidR="00F4102C" w:rsidRPr="000433D1">
        <w:rPr>
          <w:rFonts w:ascii="Book Antiqua" w:hAnsi="Book Antiqua" w:cs="Times New Roman"/>
          <w:sz w:val="24"/>
          <w:szCs w:val="24"/>
        </w:rPr>
        <w:t xml:space="preserve">En efecto, el artículo 287 de la Constitución establece el núcleo irreductible del principio de autonomía territorial. En dicho artículo se establecen los derechos de las entidades territoriales en virtud del principio de autonomía territorial, los cuales son: </w:t>
      </w:r>
      <w:r w:rsidR="00F4102C" w:rsidRPr="000433D1">
        <w:rPr>
          <w:rFonts w:ascii="Book Antiqua" w:hAnsi="Book Antiqua" w:cs="Times New Roman"/>
          <w:b/>
          <w:bCs/>
          <w:i/>
          <w:iCs/>
          <w:sz w:val="24"/>
          <w:szCs w:val="24"/>
        </w:rPr>
        <w:t>(i)</w:t>
      </w:r>
      <w:r w:rsidR="00F4102C" w:rsidRPr="000433D1">
        <w:rPr>
          <w:rFonts w:ascii="Book Antiqua" w:hAnsi="Book Antiqua" w:cs="Times New Roman"/>
          <w:sz w:val="24"/>
          <w:szCs w:val="24"/>
        </w:rPr>
        <w:t xml:space="preserve"> gobernarse por autoridades propias</w:t>
      </w:r>
      <w:r w:rsidR="00EC618B" w:rsidRPr="000433D1">
        <w:rPr>
          <w:rFonts w:ascii="Book Antiqua" w:hAnsi="Book Antiqua" w:cs="Times New Roman"/>
          <w:sz w:val="24"/>
          <w:szCs w:val="24"/>
        </w:rPr>
        <w:t>;</w:t>
      </w:r>
      <w:r w:rsidR="00F4102C" w:rsidRPr="000433D1">
        <w:rPr>
          <w:rStyle w:val="Refdenotaalpie"/>
          <w:rFonts w:ascii="Book Antiqua" w:hAnsi="Book Antiqua" w:cs="Times New Roman"/>
          <w:sz w:val="24"/>
          <w:szCs w:val="24"/>
        </w:rPr>
        <w:footnoteReference w:id="25"/>
      </w:r>
      <w:r w:rsidR="00F4102C" w:rsidRPr="000433D1">
        <w:rPr>
          <w:rFonts w:ascii="Book Antiqua" w:hAnsi="Book Antiqua" w:cs="Times New Roman"/>
          <w:sz w:val="24"/>
          <w:szCs w:val="24"/>
        </w:rPr>
        <w:t xml:space="preserve"> </w:t>
      </w:r>
      <w:r w:rsidR="00F4102C" w:rsidRPr="000433D1">
        <w:rPr>
          <w:rFonts w:ascii="Book Antiqua" w:hAnsi="Book Antiqua" w:cs="Times New Roman"/>
          <w:b/>
          <w:bCs/>
          <w:i/>
          <w:iCs/>
          <w:sz w:val="24"/>
          <w:szCs w:val="24"/>
        </w:rPr>
        <w:t>(</w:t>
      </w:r>
      <w:proofErr w:type="spellStart"/>
      <w:r w:rsidR="00F4102C" w:rsidRPr="000433D1">
        <w:rPr>
          <w:rFonts w:ascii="Book Antiqua" w:hAnsi="Book Antiqua" w:cs="Times New Roman"/>
          <w:b/>
          <w:bCs/>
          <w:i/>
          <w:iCs/>
          <w:sz w:val="24"/>
          <w:szCs w:val="24"/>
        </w:rPr>
        <w:t>ii</w:t>
      </w:r>
      <w:proofErr w:type="spellEnd"/>
      <w:r w:rsidR="00F4102C" w:rsidRPr="000433D1">
        <w:rPr>
          <w:rFonts w:ascii="Book Antiqua" w:hAnsi="Book Antiqua" w:cs="Times New Roman"/>
          <w:b/>
          <w:bCs/>
          <w:i/>
          <w:iCs/>
          <w:sz w:val="24"/>
          <w:szCs w:val="24"/>
        </w:rPr>
        <w:t>)</w:t>
      </w:r>
      <w:r w:rsidR="00F4102C" w:rsidRPr="000433D1">
        <w:rPr>
          <w:rFonts w:ascii="Book Antiqua" w:hAnsi="Book Antiqua" w:cs="Times New Roman"/>
          <w:sz w:val="24"/>
          <w:szCs w:val="24"/>
        </w:rPr>
        <w:t xml:space="preserve"> ejercer las competencias que les correspondan</w:t>
      </w:r>
      <w:r w:rsidR="00EC618B" w:rsidRPr="000433D1">
        <w:rPr>
          <w:rFonts w:ascii="Book Antiqua" w:hAnsi="Book Antiqua" w:cs="Times New Roman"/>
          <w:sz w:val="24"/>
          <w:szCs w:val="24"/>
        </w:rPr>
        <w:t>;</w:t>
      </w:r>
      <w:r w:rsidR="00F4102C" w:rsidRPr="000433D1">
        <w:rPr>
          <w:rStyle w:val="Refdenotaalpie"/>
          <w:rFonts w:ascii="Book Antiqua" w:hAnsi="Book Antiqua" w:cs="Times New Roman"/>
          <w:sz w:val="24"/>
          <w:szCs w:val="24"/>
        </w:rPr>
        <w:footnoteReference w:id="26"/>
      </w:r>
      <w:r w:rsidR="00F4102C" w:rsidRPr="000433D1">
        <w:rPr>
          <w:rFonts w:ascii="Book Antiqua" w:hAnsi="Book Antiqua" w:cs="Times New Roman"/>
          <w:sz w:val="24"/>
          <w:szCs w:val="24"/>
        </w:rPr>
        <w:t xml:space="preserve"> </w:t>
      </w:r>
      <w:r w:rsidR="00F4102C" w:rsidRPr="000433D1">
        <w:rPr>
          <w:rFonts w:ascii="Book Antiqua" w:hAnsi="Book Antiqua" w:cs="Times New Roman"/>
          <w:b/>
          <w:bCs/>
          <w:i/>
          <w:iCs/>
          <w:sz w:val="24"/>
          <w:szCs w:val="24"/>
        </w:rPr>
        <w:t>(</w:t>
      </w:r>
      <w:proofErr w:type="spellStart"/>
      <w:r w:rsidR="00F4102C" w:rsidRPr="000433D1">
        <w:rPr>
          <w:rFonts w:ascii="Book Antiqua" w:hAnsi="Book Antiqua" w:cs="Times New Roman"/>
          <w:b/>
          <w:bCs/>
          <w:i/>
          <w:iCs/>
          <w:sz w:val="24"/>
          <w:szCs w:val="24"/>
        </w:rPr>
        <w:t>iii</w:t>
      </w:r>
      <w:proofErr w:type="spellEnd"/>
      <w:r w:rsidR="00F4102C" w:rsidRPr="000433D1">
        <w:rPr>
          <w:rFonts w:ascii="Book Antiqua" w:hAnsi="Book Antiqua" w:cs="Times New Roman"/>
          <w:b/>
          <w:bCs/>
          <w:i/>
          <w:iCs/>
          <w:sz w:val="24"/>
          <w:szCs w:val="24"/>
        </w:rPr>
        <w:t>)</w:t>
      </w:r>
      <w:r w:rsidR="00F4102C" w:rsidRPr="000433D1">
        <w:rPr>
          <w:rFonts w:ascii="Book Antiqua" w:hAnsi="Book Antiqua" w:cs="Times New Roman"/>
          <w:sz w:val="24"/>
          <w:szCs w:val="24"/>
        </w:rPr>
        <w:t xml:space="preserve"> administrar los recursos y establecer los tributos necesarios para el cumplimiento de sus funciones</w:t>
      </w:r>
      <w:r w:rsidR="00EC618B" w:rsidRPr="000433D1">
        <w:rPr>
          <w:rFonts w:ascii="Book Antiqua" w:hAnsi="Book Antiqua" w:cs="Times New Roman"/>
          <w:sz w:val="24"/>
          <w:szCs w:val="24"/>
        </w:rPr>
        <w:t>;</w:t>
      </w:r>
      <w:r w:rsidR="00F4102C" w:rsidRPr="000433D1">
        <w:rPr>
          <w:rStyle w:val="Refdenotaalpie"/>
          <w:rFonts w:ascii="Book Antiqua" w:hAnsi="Book Antiqua" w:cs="Times New Roman"/>
          <w:sz w:val="24"/>
          <w:szCs w:val="24"/>
        </w:rPr>
        <w:footnoteReference w:id="27"/>
      </w:r>
      <w:r w:rsidR="00F4102C" w:rsidRPr="000433D1">
        <w:rPr>
          <w:rFonts w:ascii="Book Antiqua" w:hAnsi="Book Antiqua" w:cs="Times New Roman"/>
          <w:sz w:val="24"/>
          <w:szCs w:val="24"/>
        </w:rPr>
        <w:t xml:space="preserve"> y, </w:t>
      </w:r>
      <w:r w:rsidR="00F4102C" w:rsidRPr="000433D1">
        <w:rPr>
          <w:rFonts w:ascii="Book Antiqua" w:hAnsi="Book Antiqua" w:cs="Times New Roman"/>
          <w:b/>
          <w:bCs/>
          <w:i/>
          <w:iCs/>
          <w:sz w:val="24"/>
          <w:szCs w:val="24"/>
        </w:rPr>
        <w:t>(</w:t>
      </w:r>
      <w:proofErr w:type="spellStart"/>
      <w:r w:rsidR="00F4102C" w:rsidRPr="000433D1">
        <w:rPr>
          <w:rFonts w:ascii="Book Antiqua" w:hAnsi="Book Antiqua" w:cs="Times New Roman"/>
          <w:b/>
          <w:bCs/>
          <w:i/>
          <w:iCs/>
          <w:sz w:val="24"/>
          <w:szCs w:val="24"/>
        </w:rPr>
        <w:t>iv</w:t>
      </w:r>
      <w:proofErr w:type="spellEnd"/>
      <w:r w:rsidR="00F4102C" w:rsidRPr="000433D1">
        <w:rPr>
          <w:rFonts w:ascii="Book Antiqua" w:hAnsi="Book Antiqua" w:cs="Times New Roman"/>
          <w:b/>
          <w:bCs/>
          <w:i/>
          <w:iCs/>
          <w:sz w:val="24"/>
          <w:szCs w:val="24"/>
        </w:rPr>
        <w:t>)</w:t>
      </w:r>
      <w:r w:rsidR="00F4102C" w:rsidRPr="000433D1">
        <w:rPr>
          <w:rFonts w:ascii="Book Antiqua" w:hAnsi="Book Antiqua" w:cs="Times New Roman"/>
          <w:sz w:val="24"/>
          <w:szCs w:val="24"/>
        </w:rPr>
        <w:t xml:space="preserve"> participar en las rentas nacionales</w:t>
      </w:r>
      <w:r w:rsidR="00EC618B" w:rsidRPr="000433D1">
        <w:rPr>
          <w:rFonts w:ascii="Book Antiqua" w:hAnsi="Book Antiqua" w:cs="Times New Roman"/>
          <w:sz w:val="24"/>
          <w:szCs w:val="24"/>
        </w:rPr>
        <w:t>.</w:t>
      </w:r>
      <w:r w:rsidR="00F4102C" w:rsidRPr="000433D1">
        <w:rPr>
          <w:rStyle w:val="Refdenotaalpie"/>
          <w:rFonts w:ascii="Book Antiqua" w:hAnsi="Book Antiqua" w:cs="Times New Roman"/>
          <w:sz w:val="24"/>
          <w:szCs w:val="24"/>
        </w:rPr>
        <w:footnoteReference w:id="28"/>
      </w:r>
      <w:r w:rsidR="00F4102C" w:rsidRPr="000433D1">
        <w:rPr>
          <w:rFonts w:ascii="Book Antiqua" w:hAnsi="Book Antiqua" w:cs="Times New Roman"/>
          <w:sz w:val="24"/>
          <w:szCs w:val="24"/>
        </w:rPr>
        <w:t xml:space="preserve"> A partir de la lectura de estos derechos, la Corte ha considerado que “</w:t>
      </w:r>
      <w:r w:rsidR="00F4102C" w:rsidRPr="000433D1">
        <w:rPr>
          <w:rFonts w:ascii="Book Antiqua" w:hAnsi="Book Antiqua" w:cs="Times New Roman"/>
          <w:i/>
          <w:iCs/>
          <w:sz w:val="24"/>
          <w:szCs w:val="24"/>
        </w:rPr>
        <w:t>implican un poder de dirección tanto política como administrativa en el ámbito territorial respectivo, son exigibles a las autoridades superiores del Estado y deben ser respetados por éstas por ser esencial dicha institución en la estructura del Estado Colombiano</w:t>
      </w:r>
      <w:r w:rsidR="00F4102C" w:rsidRPr="000433D1">
        <w:rPr>
          <w:rFonts w:ascii="Book Antiqua" w:hAnsi="Book Antiqua" w:cs="Times New Roman"/>
          <w:sz w:val="24"/>
          <w:szCs w:val="24"/>
        </w:rPr>
        <w:t>”</w:t>
      </w:r>
      <w:r w:rsidR="00F4102C" w:rsidRPr="000433D1">
        <w:rPr>
          <w:rStyle w:val="Refdenotaalpie"/>
          <w:rFonts w:ascii="Book Antiqua" w:hAnsi="Book Antiqua" w:cs="Times New Roman"/>
          <w:sz w:val="24"/>
          <w:szCs w:val="24"/>
        </w:rPr>
        <w:footnoteReference w:id="29"/>
      </w:r>
      <w:r w:rsidR="00F4102C" w:rsidRPr="000433D1">
        <w:rPr>
          <w:rFonts w:ascii="Book Antiqua" w:hAnsi="Book Antiqua" w:cs="Times New Roman"/>
          <w:sz w:val="24"/>
          <w:szCs w:val="24"/>
        </w:rPr>
        <w:t>.</w:t>
      </w:r>
      <w:r w:rsidR="00EC618B" w:rsidRPr="000433D1">
        <w:rPr>
          <w:rFonts w:ascii="Book Antiqua" w:hAnsi="Book Antiqua" w:cs="Times New Roman"/>
          <w:sz w:val="24"/>
          <w:szCs w:val="24"/>
        </w:rPr>
        <w:t xml:space="preserve"> Asimismo, estos núcleos irreductibles deben interpretarse a la luz de los principios de concurrencia, coordinación y subsidiariedad.</w:t>
      </w:r>
      <w:r w:rsidR="00EC618B" w:rsidRPr="000433D1">
        <w:rPr>
          <w:rStyle w:val="Refdenotaalpie"/>
          <w:rFonts w:ascii="Book Antiqua" w:hAnsi="Book Antiqua" w:cs="Times New Roman"/>
          <w:sz w:val="24"/>
          <w:szCs w:val="24"/>
        </w:rPr>
        <w:footnoteReference w:id="30"/>
      </w:r>
    </w:p>
    <w:p w14:paraId="588B0F55" w14:textId="1F0039DB" w:rsidR="008C34AF" w:rsidRPr="000433D1" w:rsidRDefault="008C34AF" w:rsidP="00746A5C">
      <w:pPr>
        <w:spacing w:after="0" w:line="240" w:lineRule="auto"/>
        <w:jc w:val="both"/>
        <w:rPr>
          <w:rFonts w:ascii="Book Antiqua" w:hAnsi="Book Antiqua" w:cs="Times New Roman"/>
          <w:sz w:val="24"/>
          <w:szCs w:val="24"/>
        </w:rPr>
      </w:pPr>
    </w:p>
    <w:p w14:paraId="2DC847E4" w14:textId="77777777" w:rsidR="00E76A9D" w:rsidRPr="000433D1" w:rsidRDefault="00A80E3F" w:rsidP="00A80E3F">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 xml:space="preserve">En todo caso, a pesar de lo anterior, es posible afirmar que los diferentes escenarios constitucionales de la autonomía territorial se han expresado en cuatro (4) dimensiones, a saber: </w:t>
      </w:r>
      <w:r w:rsidRPr="000433D1">
        <w:rPr>
          <w:rFonts w:ascii="Book Antiqua" w:hAnsi="Book Antiqua" w:cs="Times New Roman"/>
          <w:b/>
          <w:bCs/>
          <w:i/>
          <w:iCs/>
          <w:sz w:val="24"/>
          <w:szCs w:val="24"/>
        </w:rPr>
        <w:t>(i)</w:t>
      </w:r>
      <w:r w:rsidRPr="000433D1">
        <w:rPr>
          <w:rFonts w:ascii="Book Antiqua" w:hAnsi="Book Antiqua" w:cs="Times New Roman"/>
          <w:sz w:val="24"/>
          <w:szCs w:val="24"/>
        </w:rPr>
        <w:t xml:space="preserve"> autonomía política,</w:t>
      </w:r>
      <w:r w:rsidRPr="000433D1">
        <w:rPr>
          <w:rStyle w:val="Refdenotaalpie"/>
          <w:rFonts w:ascii="Book Antiqua" w:hAnsi="Book Antiqua" w:cs="Times New Roman"/>
          <w:sz w:val="24"/>
          <w:szCs w:val="24"/>
        </w:rPr>
        <w:footnoteReference w:id="31"/>
      </w:r>
      <w:r w:rsidRPr="000433D1">
        <w:rPr>
          <w:rFonts w:ascii="Book Antiqua" w:hAnsi="Book Antiqua" w:cs="Times New Roman"/>
          <w:sz w:val="24"/>
          <w:szCs w:val="24"/>
        </w:rPr>
        <w:t xml:space="preserve"> según la cual</w:t>
      </w:r>
      <w:r w:rsidR="00E76A9D" w:rsidRPr="000433D1">
        <w:rPr>
          <w:rFonts w:ascii="Book Antiqua" w:hAnsi="Book Antiqua" w:cs="Times New Roman"/>
          <w:sz w:val="24"/>
          <w:szCs w:val="24"/>
        </w:rPr>
        <w:t>:</w:t>
      </w:r>
    </w:p>
    <w:p w14:paraId="3A364A8F" w14:textId="77777777" w:rsidR="00E76A9D" w:rsidRPr="000433D1" w:rsidRDefault="00E76A9D" w:rsidP="00A80E3F">
      <w:pPr>
        <w:spacing w:after="0" w:line="240" w:lineRule="auto"/>
        <w:jc w:val="both"/>
        <w:rPr>
          <w:rFonts w:ascii="Book Antiqua" w:hAnsi="Book Antiqua" w:cs="Times New Roman"/>
          <w:sz w:val="24"/>
          <w:szCs w:val="24"/>
        </w:rPr>
      </w:pPr>
    </w:p>
    <w:p w14:paraId="4512D761" w14:textId="569251E9" w:rsidR="00A80E3F" w:rsidRPr="000433D1" w:rsidRDefault="00A80E3F" w:rsidP="00E76A9D">
      <w:pPr>
        <w:spacing w:after="0" w:line="240" w:lineRule="auto"/>
        <w:ind w:left="708"/>
        <w:jc w:val="both"/>
        <w:rPr>
          <w:rFonts w:ascii="Book Antiqua" w:hAnsi="Book Antiqua" w:cs="Times New Roman"/>
          <w:sz w:val="24"/>
          <w:szCs w:val="24"/>
        </w:rPr>
      </w:pPr>
      <w:r w:rsidRPr="000433D1">
        <w:rPr>
          <w:rFonts w:ascii="Book Antiqua" w:hAnsi="Book Antiqua" w:cs="Times New Roman"/>
          <w:sz w:val="24"/>
          <w:szCs w:val="24"/>
        </w:rPr>
        <w:t xml:space="preserve"> “</w:t>
      </w:r>
      <w:r w:rsidR="00E76A9D" w:rsidRPr="000433D1">
        <w:rPr>
          <w:rFonts w:ascii="Book Antiqua" w:hAnsi="Book Antiqua" w:cs="Times New Roman"/>
          <w:sz w:val="24"/>
          <w:szCs w:val="24"/>
        </w:rPr>
        <w:t xml:space="preserve">[…] </w:t>
      </w:r>
      <w:r w:rsidRPr="000433D1">
        <w:rPr>
          <w:rFonts w:ascii="Book Antiqua" w:hAnsi="Book Antiqua" w:cs="Times New Roman"/>
          <w:i/>
          <w:sz w:val="24"/>
          <w:szCs w:val="24"/>
        </w:rPr>
        <w:t>confiere a cada uno de los niveles territoriales la capacidad para elegir a los propios gobernantes, como fuente directa de legitimidad democrática (por ejemplo, alcaldes, concejales, gobernadores y asambleístas)</w:t>
      </w:r>
      <w:r w:rsidRPr="000433D1">
        <w:rPr>
          <w:rFonts w:ascii="Book Antiqua" w:hAnsi="Book Antiqua" w:cs="Times New Roman"/>
          <w:sz w:val="24"/>
          <w:szCs w:val="24"/>
        </w:rPr>
        <w:t xml:space="preserve">”; </w:t>
      </w:r>
      <w:r w:rsidRPr="000433D1">
        <w:rPr>
          <w:rFonts w:ascii="Book Antiqua" w:hAnsi="Book Antiqua" w:cs="Times New Roman"/>
          <w:b/>
          <w:bCs/>
          <w:i/>
          <w:iCs/>
          <w:sz w:val="24"/>
          <w:szCs w:val="24"/>
        </w:rPr>
        <w:t>(</w:t>
      </w:r>
      <w:proofErr w:type="spellStart"/>
      <w:r w:rsidRPr="000433D1">
        <w:rPr>
          <w:rFonts w:ascii="Book Antiqua" w:hAnsi="Book Antiqua" w:cs="Times New Roman"/>
          <w:b/>
          <w:bCs/>
          <w:i/>
          <w:iCs/>
          <w:sz w:val="24"/>
          <w:szCs w:val="24"/>
        </w:rPr>
        <w:t>ii</w:t>
      </w:r>
      <w:proofErr w:type="spellEnd"/>
      <w:r w:rsidRPr="000433D1">
        <w:rPr>
          <w:rFonts w:ascii="Book Antiqua" w:hAnsi="Book Antiqua" w:cs="Times New Roman"/>
          <w:b/>
          <w:bCs/>
          <w:i/>
          <w:iCs/>
          <w:sz w:val="24"/>
          <w:szCs w:val="24"/>
        </w:rPr>
        <w:t>)</w:t>
      </w:r>
      <w:r w:rsidRPr="000433D1">
        <w:rPr>
          <w:rFonts w:ascii="Book Antiqua" w:hAnsi="Book Antiqua" w:cs="Times New Roman"/>
          <w:sz w:val="24"/>
          <w:szCs w:val="24"/>
        </w:rPr>
        <w:t xml:space="preserve"> autonomía administrativa</w:t>
      </w:r>
      <w:r w:rsidRPr="000433D1">
        <w:rPr>
          <w:rStyle w:val="Refdenotaalpie"/>
          <w:rFonts w:ascii="Book Antiqua" w:hAnsi="Book Antiqua" w:cs="Times New Roman"/>
          <w:sz w:val="24"/>
          <w:szCs w:val="24"/>
        </w:rPr>
        <w:footnoteReference w:id="32"/>
      </w:r>
      <w:r w:rsidRPr="000433D1">
        <w:rPr>
          <w:rFonts w:ascii="Book Antiqua" w:hAnsi="Book Antiqua" w:cs="Times New Roman"/>
          <w:sz w:val="24"/>
          <w:szCs w:val="24"/>
        </w:rPr>
        <w:t xml:space="preserve"> “</w:t>
      </w:r>
      <w:r w:rsidRPr="000433D1">
        <w:rPr>
          <w:rFonts w:ascii="Book Antiqua" w:hAnsi="Book Antiqua" w:cs="Times New Roman"/>
          <w:i/>
          <w:sz w:val="24"/>
          <w:szCs w:val="24"/>
        </w:rPr>
        <w:t>en virtud de la cual se confiere a cada uno de los niveles territoriales las competencias para manejar de manera independiente los asuntos que se encuentran bajo su jurisdicción</w:t>
      </w:r>
      <w:r w:rsidRPr="000433D1">
        <w:rPr>
          <w:rFonts w:ascii="Book Antiqua" w:hAnsi="Book Antiqua" w:cs="Times New Roman"/>
          <w:sz w:val="24"/>
          <w:szCs w:val="24"/>
        </w:rPr>
        <w:t xml:space="preserve">”; </w:t>
      </w:r>
      <w:r w:rsidRPr="000433D1">
        <w:rPr>
          <w:rFonts w:ascii="Book Antiqua" w:hAnsi="Book Antiqua" w:cs="Times New Roman"/>
          <w:b/>
          <w:bCs/>
          <w:i/>
          <w:iCs/>
          <w:sz w:val="24"/>
          <w:szCs w:val="24"/>
        </w:rPr>
        <w:t>(</w:t>
      </w:r>
      <w:proofErr w:type="spellStart"/>
      <w:r w:rsidRPr="000433D1">
        <w:rPr>
          <w:rFonts w:ascii="Book Antiqua" w:hAnsi="Book Antiqua" w:cs="Times New Roman"/>
          <w:b/>
          <w:bCs/>
          <w:i/>
          <w:iCs/>
          <w:sz w:val="24"/>
          <w:szCs w:val="24"/>
        </w:rPr>
        <w:t>iii</w:t>
      </w:r>
      <w:proofErr w:type="spellEnd"/>
      <w:r w:rsidRPr="000433D1">
        <w:rPr>
          <w:rFonts w:ascii="Book Antiqua" w:hAnsi="Book Antiqua" w:cs="Times New Roman"/>
          <w:b/>
          <w:bCs/>
          <w:i/>
          <w:iCs/>
          <w:sz w:val="24"/>
          <w:szCs w:val="24"/>
        </w:rPr>
        <w:t>)</w:t>
      </w:r>
      <w:r w:rsidRPr="000433D1">
        <w:rPr>
          <w:rFonts w:ascii="Book Antiqua" w:hAnsi="Book Antiqua" w:cs="Times New Roman"/>
          <w:sz w:val="24"/>
          <w:szCs w:val="24"/>
        </w:rPr>
        <w:t xml:space="preserve"> autonomía fiscal “</w:t>
      </w:r>
      <w:r w:rsidRPr="000433D1">
        <w:rPr>
          <w:rFonts w:ascii="Book Antiqua" w:hAnsi="Book Antiqua" w:cs="Times New Roman"/>
          <w:i/>
          <w:sz w:val="24"/>
          <w:szCs w:val="24"/>
        </w:rPr>
        <w:t>en virtud de la cual se confiere a cada uno de los niveles territoriales [</w:t>
      </w:r>
      <w:r w:rsidRPr="000433D1">
        <w:rPr>
          <w:rFonts w:ascii="Book Antiqua" w:hAnsi="Book Antiqua" w:cs="Times New Roman"/>
          <w:sz w:val="24"/>
          <w:szCs w:val="24"/>
        </w:rPr>
        <w:t>la competencia</w:t>
      </w:r>
      <w:r w:rsidRPr="000433D1">
        <w:rPr>
          <w:rFonts w:ascii="Book Antiqua" w:hAnsi="Book Antiqua" w:cs="Times New Roman"/>
          <w:i/>
          <w:sz w:val="24"/>
          <w:szCs w:val="24"/>
        </w:rPr>
        <w:t>] para fijar tributos, participar en las rentas nacionales y administrar de manera independiente los propios recursos</w:t>
      </w:r>
      <w:r w:rsidRPr="000433D1">
        <w:rPr>
          <w:rFonts w:ascii="Book Antiqua" w:hAnsi="Book Antiqua" w:cs="Times New Roman"/>
          <w:sz w:val="24"/>
          <w:szCs w:val="24"/>
        </w:rPr>
        <w:t>”;</w:t>
      </w:r>
      <w:r w:rsidRPr="000433D1">
        <w:rPr>
          <w:rStyle w:val="Refdenotaalpie"/>
          <w:rFonts w:ascii="Book Antiqua" w:hAnsi="Book Antiqua" w:cs="Times New Roman"/>
          <w:sz w:val="24"/>
          <w:szCs w:val="24"/>
        </w:rPr>
        <w:footnoteReference w:id="33"/>
      </w:r>
      <w:r w:rsidRPr="000433D1">
        <w:rPr>
          <w:rFonts w:ascii="Book Antiqua" w:hAnsi="Book Antiqua" w:cs="Times New Roman"/>
          <w:sz w:val="24"/>
          <w:szCs w:val="24"/>
        </w:rPr>
        <w:t xml:space="preserve"> y, </w:t>
      </w:r>
      <w:r w:rsidRPr="000433D1">
        <w:rPr>
          <w:rFonts w:ascii="Book Antiqua" w:hAnsi="Book Antiqua" w:cs="Times New Roman"/>
          <w:b/>
          <w:i/>
          <w:sz w:val="24"/>
          <w:szCs w:val="24"/>
        </w:rPr>
        <w:t>(</w:t>
      </w:r>
      <w:proofErr w:type="spellStart"/>
      <w:r w:rsidRPr="000433D1">
        <w:rPr>
          <w:rFonts w:ascii="Book Antiqua" w:hAnsi="Book Antiqua" w:cs="Times New Roman"/>
          <w:b/>
          <w:i/>
          <w:sz w:val="24"/>
          <w:szCs w:val="24"/>
        </w:rPr>
        <w:t>iv</w:t>
      </w:r>
      <w:proofErr w:type="spellEnd"/>
      <w:r w:rsidRPr="000433D1">
        <w:rPr>
          <w:rFonts w:ascii="Book Antiqua" w:hAnsi="Book Antiqua" w:cs="Times New Roman"/>
          <w:b/>
          <w:i/>
          <w:sz w:val="24"/>
          <w:szCs w:val="24"/>
        </w:rPr>
        <w:t>)</w:t>
      </w:r>
      <w:r w:rsidRPr="000433D1">
        <w:rPr>
          <w:rFonts w:ascii="Book Antiqua" w:hAnsi="Book Antiqua" w:cs="Times New Roman"/>
          <w:sz w:val="24"/>
          <w:szCs w:val="24"/>
        </w:rPr>
        <w:t xml:space="preserve"> autonomía normativa, a través de la cual “</w:t>
      </w:r>
      <w:r w:rsidRPr="000433D1">
        <w:rPr>
          <w:rFonts w:ascii="Book Antiqua" w:hAnsi="Book Antiqua" w:cs="Times New Roman"/>
          <w:i/>
          <w:sz w:val="24"/>
          <w:szCs w:val="24"/>
        </w:rPr>
        <w:t xml:space="preserve">se confiere a cada </w:t>
      </w:r>
      <w:r w:rsidRPr="000433D1">
        <w:rPr>
          <w:rFonts w:ascii="Book Antiqua" w:hAnsi="Book Antiqua" w:cs="Times New Roman"/>
          <w:i/>
          <w:sz w:val="24"/>
          <w:szCs w:val="24"/>
        </w:rPr>
        <w:lastRenderedPageBreak/>
        <w:t xml:space="preserve">uno de los niveles territoriales la capacidad de </w:t>
      </w:r>
      <w:proofErr w:type="spellStart"/>
      <w:r w:rsidRPr="000433D1">
        <w:rPr>
          <w:rFonts w:ascii="Book Antiqua" w:hAnsi="Book Antiqua" w:cs="Times New Roman"/>
          <w:i/>
          <w:sz w:val="24"/>
          <w:szCs w:val="24"/>
        </w:rPr>
        <w:t>auto-regularse</w:t>
      </w:r>
      <w:proofErr w:type="spellEnd"/>
      <w:r w:rsidRPr="000433D1">
        <w:rPr>
          <w:rFonts w:ascii="Book Antiqua" w:hAnsi="Book Antiqua" w:cs="Times New Roman"/>
          <w:i/>
          <w:sz w:val="24"/>
          <w:szCs w:val="24"/>
        </w:rPr>
        <w:t xml:space="preserve"> en aquellas materias específicas que no trasciendan o desborden el interés exclusivamente local o regional</w:t>
      </w:r>
      <w:r w:rsidRPr="000433D1">
        <w:rPr>
          <w:rFonts w:ascii="Book Antiqua" w:hAnsi="Book Antiqua" w:cs="Times New Roman"/>
          <w:sz w:val="24"/>
          <w:szCs w:val="24"/>
        </w:rPr>
        <w:t>”.</w:t>
      </w:r>
      <w:r w:rsidRPr="000433D1">
        <w:rPr>
          <w:rStyle w:val="Refdenotaalpie"/>
          <w:rFonts w:ascii="Book Antiqua" w:hAnsi="Book Antiqua" w:cs="Times New Roman"/>
          <w:sz w:val="24"/>
          <w:szCs w:val="24"/>
        </w:rPr>
        <w:footnoteReference w:id="34"/>
      </w:r>
    </w:p>
    <w:p w14:paraId="6368F582" w14:textId="4C9F6833" w:rsidR="00A80E3F" w:rsidRPr="000433D1" w:rsidRDefault="00A80E3F" w:rsidP="00A80E3F">
      <w:pPr>
        <w:spacing w:after="0" w:line="240" w:lineRule="auto"/>
        <w:jc w:val="both"/>
        <w:rPr>
          <w:rFonts w:ascii="Book Antiqua" w:hAnsi="Book Antiqua" w:cs="Times New Roman"/>
          <w:sz w:val="24"/>
          <w:szCs w:val="24"/>
        </w:rPr>
      </w:pPr>
    </w:p>
    <w:p w14:paraId="5D4CF0D6" w14:textId="77777777" w:rsidR="0095728A" w:rsidRPr="000433D1" w:rsidRDefault="0095728A" w:rsidP="0095728A">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En ese sentido, el Congreso de la República debe considerar a los territorios como escenarios constitucionalmente idóneos para debatir si estas actividades corresponden a una expresión de la cultura territorial, pues, finalmente es allí donde pueden verificarse si realmente estas prácticas constituyen una expresión de la cultura territorial y, por tanto, hacen parte de su constitución como comunidad. Esta consideración no solo está acorde con la jurisprudencia constitucional, sino que, a su vez, potencia la participación de las comunidades sobre el entendimiento de la cultura, la forma como definen colectivamente su territorio como forma de vida y los principios constitucionales de autonomía territorial y la democracia.</w:t>
      </w:r>
    </w:p>
    <w:p w14:paraId="04E84287" w14:textId="118CD0E9" w:rsidR="0095728A" w:rsidRPr="000433D1" w:rsidRDefault="0095728A" w:rsidP="00746A5C">
      <w:pPr>
        <w:spacing w:after="0" w:line="240" w:lineRule="auto"/>
        <w:jc w:val="both"/>
        <w:rPr>
          <w:rFonts w:ascii="Book Antiqua" w:hAnsi="Book Antiqua" w:cs="Times New Roman"/>
          <w:sz w:val="24"/>
          <w:szCs w:val="24"/>
        </w:rPr>
      </w:pPr>
    </w:p>
    <w:p w14:paraId="62372C52" w14:textId="7B82089D" w:rsidR="00887C85" w:rsidRPr="000433D1" w:rsidRDefault="00887C85" w:rsidP="00887C85">
      <w:pPr>
        <w:pStyle w:val="Prrafodelista"/>
        <w:numPr>
          <w:ilvl w:val="0"/>
          <w:numId w:val="3"/>
        </w:numPr>
        <w:spacing w:after="0" w:line="240" w:lineRule="auto"/>
        <w:ind w:left="0" w:firstLine="0"/>
        <w:jc w:val="both"/>
        <w:rPr>
          <w:rFonts w:ascii="Book Antiqua" w:hAnsi="Book Antiqua" w:cs="Times New Roman"/>
          <w:b/>
          <w:bCs/>
          <w:sz w:val="24"/>
          <w:szCs w:val="24"/>
        </w:rPr>
      </w:pPr>
      <w:r w:rsidRPr="000433D1">
        <w:rPr>
          <w:rFonts w:ascii="Book Antiqua" w:hAnsi="Book Antiqua" w:cs="Times New Roman"/>
          <w:b/>
          <w:bCs/>
          <w:sz w:val="24"/>
          <w:szCs w:val="24"/>
        </w:rPr>
        <w:t>Quienes realizan las prácticas taurinas no son minorías consideradas como sujetos de especial protección constitucional y, a su vez, estas prácticas no son expresión de la cultura nacional</w:t>
      </w:r>
    </w:p>
    <w:p w14:paraId="5DBBB8D6" w14:textId="77777777" w:rsidR="00887C85" w:rsidRPr="000433D1" w:rsidRDefault="00887C85" w:rsidP="00746A5C">
      <w:pPr>
        <w:spacing w:after="0" w:line="240" w:lineRule="auto"/>
        <w:jc w:val="both"/>
        <w:rPr>
          <w:rFonts w:ascii="Book Antiqua" w:hAnsi="Book Antiqua" w:cs="Times New Roman"/>
          <w:sz w:val="24"/>
          <w:szCs w:val="24"/>
        </w:rPr>
      </w:pPr>
    </w:p>
    <w:p w14:paraId="7852AC35" w14:textId="7169A189" w:rsidR="005E3C82" w:rsidRPr="000433D1" w:rsidRDefault="007F3C3A" w:rsidP="00887C85">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L</w:t>
      </w:r>
      <w:r w:rsidR="00887C85" w:rsidRPr="000433D1">
        <w:rPr>
          <w:rFonts w:ascii="Book Antiqua" w:hAnsi="Book Antiqua" w:cs="Times New Roman"/>
          <w:sz w:val="24"/>
          <w:szCs w:val="24"/>
        </w:rPr>
        <w:t xml:space="preserve">as personas que practican las actividades taurinas no son una población que representan una cultura minoritaria y dichas actividades tampoco consisten en una práctica cultural nacional. </w:t>
      </w:r>
      <w:r w:rsidR="009D7615" w:rsidRPr="000433D1">
        <w:rPr>
          <w:rFonts w:ascii="Book Antiqua" w:hAnsi="Book Antiqua" w:cs="Times New Roman"/>
          <w:sz w:val="24"/>
          <w:szCs w:val="24"/>
        </w:rPr>
        <w:t>En ese sentido,</w:t>
      </w:r>
      <w:r w:rsidR="00DD7C23" w:rsidRPr="000433D1">
        <w:rPr>
          <w:rFonts w:ascii="Book Antiqua" w:hAnsi="Book Antiqua" w:cs="Times New Roman"/>
          <w:sz w:val="24"/>
          <w:szCs w:val="24"/>
        </w:rPr>
        <w:t xml:space="preserve"> las regulaciones sobre la definición de las prácticas taurinas como expresión cultural no implica</w:t>
      </w:r>
      <w:r w:rsidR="009D7615" w:rsidRPr="000433D1">
        <w:rPr>
          <w:rFonts w:ascii="Book Antiqua" w:hAnsi="Book Antiqua" w:cs="Times New Roman"/>
          <w:sz w:val="24"/>
          <w:szCs w:val="24"/>
        </w:rPr>
        <w:t>n</w:t>
      </w:r>
      <w:r w:rsidR="00DD7C23" w:rsidRPr="000433D1">
        <w:rPr>
          <w:rFonts w:ascii="Book Antiqua" w:hAnsi="Book Antiqua" w:cs="Times New Roman"/>
          <w:sz w:val="24"/>
          <w:szCs w:val="24"/>
        </w:rPr>
        <w:t xml:space="preserve"> un ejercicio de discriminación y, a su vez, que estas prácticas, en un momento específico de la historia fueron consideradas como expresiones culturales, empero, ahora, debido a la proliferación de decisiones sobre la protección animal, los diferentes aportes de las ciencias humanas sobre la posibilidad de que los animales son seres sintientes y el crecimiento de </w:t>
      </w:r>
      <w:r w:rsidR="00756B14" w:rsidRPr="000433D1">
        <w:rPr>
          <w:rFonts w:ascii="Book Antiqua" w:hAnsi="Book Antiqua" w:cs="Times New Roman"/>
          <w:sz w:val="24"/>
          <w:szCs w:val="24"/>
        </w:rPr>
        <w:t>colectivos defensores de los derechos de los animales</w:t>
      </w:r>
      <w:r w:rsidRPr="000433D1">
        <w:rPr>
          <w:rFonts w:ascii="Book Antiqua" w:hAnsi="Book Antiqua" w:cs="Times New Roman"/>
          <w:sz w:val="24"/>
          <w:szCs w:val="24"/>
        </w:rPr>
        <w:t>.</w:t>
      </w:r>
    </w:p>
    <w:p w14:paraId="7BEB4C10" w14:textId="77777777" w:rsidR="00C938D8" w:rsidRPr="000433D1" w:rsidRDefault="00C938D8" w:rsidP="00887C85">
      <w:pPr>
        <w:spacing w:after="0" w:line="240" w:lineRule="auto"/>
        <w:jc w:val="both"/>
        <w:rPr>
          <w:rFonts w:ascii="Book Antiqua" w:hAnsi="Book Antiqua" w:cs="Times New Roman"/>
          <w:sz w:val="24"/>
          <w:szCs w:val="24"/>
        </w:rPr>
      </w:pPr>
    </w:p>
    <w:p w14:paraId="6377F181" w14:textId="1CA773E6" w:rsidR="009D7615" w:rsidRPr="000433D1" w:rsidRDefault="009D7615" w:rsidP="00887C85">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La expresión “</w:t>
      </w:r>
      <w:r w:rsidRPr="000433D1">
        <w:rPr>
          <w:rFonts w:ascii="Book Antiqua" w:hAnsi="Book Antiqua" w:cs="Times New Roman"/>
          <w:i/>
          <w:iCs/>
          <w:sz w:val="24"/>
          <w:szCs w:val="24"/>
        </w:rPr>
        <w:t>minoría</w:t>
      </w:r>
      <w:r w:rsidRPr="000433D1">
        <w:rPr>
          <w:rFonts w:ascii="Book Antiqua" w:hAnsi="Book Antiqua" w:cs="Times New Roman"/>
          <w:sz w:val="24"/>
          <w:szCs w:val="24"/>
        </w:rPr>
        <w:t>” tiene una relación estrecha con la discriminación histórica que han padecido ciertas comunidades al no pertenecer a la “</w:t>
      </w:r>
      <w:r w:rsidRPr="000433D1">
        <w:rPr>
          <w:rFonts w:ascii="Book Antiqua" w:hAnsi="Book Antiqua" w:cs="Times New Roman"/>
          <w:i/>
          <w:iCs/>
          <w:sz w:val="24"/>
          <w:szCs w:val="24"/>
        </w:rPr>
        <w:t>cultura mayoritaria occidental</w:t>
      </w:r>
      <w:r w:rsidRPr="000433D1">
        <w:rPr>
          <w:rFonts w:ascii="Book Antiqua" w:hAnsi="Book Antiqua" w:cs="Times New Roman"/>
          <w:sz w:val="24"/>
          <w:szCs w:val="24"/>
        </w:rPr>
        <w:t xml:space="preserve">”. Esta discriminación, a su vez, conlleva la eliminación del concepto de dignidad de las personas discriminadas y, de manera general, </w:t>
      </w:r>
      <w:r w:rsidR="00556BE1" w:rsidRPr="000433D1">
        <w:rPr>
          <w:rFonts w:ascii="Book Antiqua" w:hAnsi="Book Antiqua" w:cs="Times New Roman"/>
          <w:sz w:val="24"/>
          <w:szCs w:val="24"/>
        </w:rPr>
        <w:t>la negación de la diversidad étnica y cultural de la Nación. En ese sentido, c</w:t>
      </w:r>
      <w:r w:rsidRPr="000433D1">
        <w:rPr>
          <w:rFonts w:ascii="Book Antiqua" w:hAnsi="Book Antiqua" w:cs="Times New Roman"/>
          <w:sz w:val="24"/>
          <w:szCs w:val="24"/>
        </w:rPr>
        <w:t xml:space="preserve">on la Constitución de 1991, estos grupos y comunidades que tradicionalmente han sido discriminados son sujetos de especial protección constitucional, lo cual implica que el Estado adopte las medidas necesarias -y de toda índole- para remediar las situaciones de injusticia </w:t>
      </w:r>
      <w:r w:rsidRPr="000433D1">
        <w:rPr>
          <w:rFonts w:ascii="Book Antiqua" w:hAnsi="Book Antiqua" w:cs="Times New Roman"/>
          <w:sz w:val="24"/>
          <w:szCs w:val="24"/>
        </w:rPr>
        <w:lastRenderedPageBreak/>
        <w:t xml:space="preserve">provocadas debido a su raza, sexo, etnia u otro criterio de diferenciación discriminatoria.  </w:t>
      </w:r>
    </w:p>
    <w:p w14:paraId="33A5C477" w14:textId="77777777" w:rsidR="009D7615" w:rsidRPr="000433D1" w:rsidRDefault="009D7615" w:rsidP="00887C85">
      <w:pPr>
        <w:spacing w:after="0" w:line="240" w:lineRule="auto"/>
        <w:jc w:val="both"/>
        <w:rPr>
          <w:rFonts w:ascii="Book Antiqua" w:hAnsi="Book Antiqua" w:cs="Times New Roman"/>
          <w:sz w:val="24"/>
          <w:szCs w:val="24"/>
        </w:rPr>
      </w:pPr>
    </w:p>
    <w:p w14:paraId="60E1D2AD" w14:textId="748C6CE2" w:rsidR="005F7FB7" w:rsidRPr="000433D1" w:rsidRDefault="00556BE1" w:rsidP="00887C85">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Por el contrario, l</w:t>
      </w:r>
      <w:r w:rsidR="00887C85" w:rsidRPr="000433D1">
        <w:rPr>
          <w:rFonts w:ascii="Book Antiqua" w:hAnsi="Book Antiqua" w:cs="Times New Roman"/>
          <w:sz w:val="24"/>
          <w:szCs w:val="24"/>
        </w:rPr>
        <w:t>as personas que practican este tipo de actividades no pueden ser equiparables a los grupos o comunidades de personas que históricamente han sido discriminadas de los distintos ámbitos de la sociedad (económico, político, ambiental, etc.)</w:t>
      </w:r>
      <w:r w:rsidR="009D7615" w:rsidRPr="000433D1">
        <w:rPr>
          <w:rFonts w:ascii="Book Antiqua" w:hAnsi="Book Antiqua" w:cs="Times New Roman"/>
          <w:sz w:val="24"/>
          <w:szCs w:val="24"/>
        </w:rPr>
        <w:t>.</w:t>
      </w:r>
      <w:r w:rsidR="00887C85" w:rsidRPr="000433D1">
        <w:rPr>
          <w:rFonts w:ascii="Book Antiqua" w:hAnsi="Book Antiqua" w:cs="Times New Roman"/>
          <w:sz w:val="24"/>
          <w:szCs w:val="24"/>
        </w:rPr>
        <w:t xml:space="preserve"> </w:t>
      </w:r>
      <w:r w:rsidRPr="000433D1">
        <w:rPr>
          <w:rFonts w:ascii="Book Antiqua" w:hAnsi="Book Antiqua" w:cs="Times New Roman"/>
          <w:sz w:val="24"/>
          <w:szCs w:val="24"/>
        </w:rPr>
        <w:t xml:space="preserve">En efecto, </w:t>
      </w:r>
      <w:r w:rsidR="00D77062" w:rsidRPr="000433D1">
        <w:rPr>
          <w:rFonts w:ascii="Book Antiqua" w:hAnsi="Book Antiqua" w:cs="Times New Roman"/>
          <w:sz w:val="24"/>
          <w:szCs w:val="24"/>
        </w:rPr>
        <w:t>las personas que realizan actividades taurinas no han sido discriminadas por el hecho de realizar estos actos. Asimismo, no pertenecen a comunidades que históricamente han sido discriminadas y colonizadas a través de actos de violencia</w:t>
      </w:r>
      <w:r w:rsidR="00377466" w:rsidRPr="000433D1">
        <w:rPr>
          <w:rFonts w:ascii="Book Antiqua" w:hAnsi="Book Antiqua" w:cs="Times New Roman"/>
          <w:sz w:val="24"/>
          <w:szCs w:val="24"/>
        </w:rPr>
        <w:t>, e incluso, son actividades que no han sido excluidas del debate nacional.</w:t>
      </w:r>
      <w:r w:rsidR="00D77062" w:rsidRPr="000433D1">
        <w:rPr>
          <w:rFonts w:ascii="Book Antiqua" w:hAnsi="Book Antiqua" w:cs="Times New Roman"/>
          <w:sz w:val="24"/>
          <w:szCs w:val="24"/>
        </w:rPr>
        <w:t xml:space="preserve"> </w:t>
      </w:r>
      <w:r w:rsidR="00377466" w:rsidRPr="000433D1">
        <w:rPr>
          <w:rFonts w:ascii="Book Antiqua" w:hAnsi="Book Antiqua" w:cs="Times New Roman"/>
          <w:sz w:val="24"/>
          <w:szCs w:val="24"/>
        </w:rPr>
        <w:t>E</w:t>
      </w:r>
      <w:r w:rsidR="007048DE" w:rsidRPr="000433D1">
        <w:rPr>
          <w:rFonts w:ascii="Book Antiqua" w:hAnsi="Book Antiqua" w:cs="Times New Roman"/>
          <w:sz w:val="24"/>
          <w:szCs w:val="24"/>
        </w:rPr>
        <w:t>n consecuencia, la defensa</w:t>
      </w:r>
      <w:r w:rsidR="00D77062" w:rsidRPr="000433D1">
        <w:rPr>
          <w:rFonts w:ascii="Book Antiqua" w:hAnsi="Book Antiqua" w:cs="Times New Roman"/>
          <w:sz w:val="24"/>
          <w:szCs w:val="24"/>
        </w:rPr>
        <w:t xml:space="preserve"> </w:t>
      </w:r>
      <w:r w:rsidR="00C01554" w:rsidRPr="000433D1">
        <w:rPr>
          <w:rFonts w:ascii="Book Antiqua" w:hAnsi="Book Antiqua" w:cs="Times New Roman"/>
          <w:sz w:val="24"/>
          <w:szCs w:val="24"/>
        </w:rPr>
        <w:t>de estas actividades no se basa</w:t>
      </w:r>
      <w:r w:rsidR="00D77062" w:rsidRPr="000433D1">
        <w:rPr>
          <w:rFonts w:ascii="Book Antiqua" w:hAnsi="Book Antiqua" w:cs="Times New Roman"/>
          <w:sz w:val="24"/>
          <w:szCs w:val="24"/>
        </w:rPr>
        <w:t xml:space="preserve"> en argumentos históricos de discriminación por raza, clase o género; sino, por el contrario, sobre la concepción de los espectáculos taurinos como expresión artística y cultural de la humanidad y la visión utilitarista del animal. </w:t>
      </w:r>
      <w:r w:rsidR="00377466" w:rsidRPr="000433D1">
        <w:rPr>
          <w:rFonts w:ascii="Book Antiqua" w:hAnsi="Book Antiqua" w:cs="Times New Roman"/>
          <w:sz w:val="24"/>
          <w:szCs w:val="24"/>
        </w:rPr>
        <w:t>Por tal motivo</w:t>
      </w:r>
      <w:r w:rsidR="00D77062" w:rsidRPr="000433D1">
        <w:rPr>
          <w:rFonts w:ascii="Book Antiqua" w:hAnsi="Book Antiqua" w:cs="Times New Roman"/>
          <w:sz w:val="24"/>
          <w:szCs w:val="24"/>
        </w:rPr>
        <w:t>, los posibles argumentos que censuran este tipo de prácticas están alejadas de parámetros discriminatorios</w:t>
      </w:r>
      <w:r w:rsidR="008F53F4" w:rsidRPr="000433D1">
        <w:rPr>
          <w:rFonts w:ascii="Book Antiqua" w:hAnsi="Book Antiqua" w:cs="Times New Roman"/>
          <w:sz w:val="24"/>
          <w:szCs w:val="24"/>
        </w:rPr>
        <w:t>, pues</w:t>
      </w:r>
      <w:r w:rsidR="001069CF" w:rsidRPr="000433D1">
        <w:rPr>
          <w:rFonts w:ascii="Book Antiqua" w:hAnsi="Book Antiqua" w:cs="Times New Roman"/>
          <w:sz w:val="24"/>
          <w:szCs w:val="24"/>
        </w:rPr>
        <w:t xml:space="preserve"> las discusiones se han centrado estrictamente sobre la definición de estas prácticas como expresiones artísticas o culturales, los derechos de los animales y, finalmente, las formas sobre cómo la comunidad puede decidir sobre si las mismas son expresiones de arraigo cultural.</w:t>
      </w:r>
      <w:r w:rsidR="00377466" w:rsidRPr="000433D1">
        <w:rPr>
          <w:rFonts w:ascii="Book Antiqua" w:hAnsi="Book Antiqua" w:cs="Times New Roman"/>
          <w:sz w:val="24"/>
          <w:szCs w:val="24"/>
        </w:rPr>
        <w:t xml:space="preserve"> </w:t>
      </w:r>
      <w:r w:rsidR="005F7FB7" w:rsidRPr="000433D1">
        <w:rPr>
          <w:rFonts w:ascii="Book Antiqua" w:hAnsi="Book Antiqua" w:cs="Times New Roman"/>
          <w:sz w:val="24"/>
          <w:szCs w:val="24"/>
        </w:rPr>
        <w:t xml:space="preserve">Así, la eventual protección que tienen las prácticas taurinas no se deriva de actividades que </w:t>
      </w:r>
      <w:r w:rsidR="00377466" w:rsidRPr="000433D1">
        <w:rPr>
          <w:rFonts w:ascii="Book Antiqua" w:hAnsi="Book Antiqua" w:cs="Times New Roman"/>
          <w:sz w:val="24"/>
          <w:szCs w:val="24"/>
        </w:rPr>
        <w:t>lleven a cabo</w:t>
      </w:r>
      <w:r w:rsidR="005F7FB7" w:rsidRPr="000433D1">
        <w:rPr>
          <w:rFonts w:ascii="Book Antiqua" w:hAnsi="Book Antiqua" w:cs="Times New Roman"/>
          <w:sz w:val="24"/>
          <w:szCs w:val="24"/>
        </w:rPr>
        <w:t xml:space="preserve"> personas con prácticas culturalmente diferenciadas respecto de la cultura mayoritaria u occidental,</w:t>
      </w:r>
      <w:r w:rsidR="00377466" w:rsidRPr="000433D1">
        <w:rPr>
          <w:rFonts w:ascii="Book Antiqua" w:hAnsi="Book Antiqua" w:cs="Times New Roman"/>
          <w:sz w:val="24"/>
          <w:szCs w:val="24"/>
        </w:rPr>
        <w:t xml:space="preserve"> sino, por el contrario, a partir de esta actividad como una manifestación cultural.</w:t>
      </w:r>
      <w:r w:rsidR="005F7FB7" w:rsidRPr="000433D1">
        <w:rPr>
          <w:rFonts w:ascii="Book Antiqua" w:hAnsi="Book Antiqua" w:cs="Times New Roman"/>
          <w:sz w:val="24"/>
          <w:szCs w:val="24"/>
        </w:rPr>
        <w:t xml:space="preserve"> </w:t>
      </w:r>
    </w:p>
    <w:p w14:paraId="2C7338DC" w14:textId="77777777" w:rsidR="00887C85" w:rsidRPr="000433D1" w:rsidRDefault="00887C85" w:rsidP="00887C85">
      <w:pPr>
        <w:spacing w:after="0" w:line="240" w:lineRule="auto"/>
        <w:jc w:val="both"/>
        <w:rPr>
          <w:rFonts w:ascii="Book Antiqua" w:hAnsi="Book Antiqua" w:cs="Times New Roman"/>
          <w:sz w:val="24"/>
          <w:szCs w:val="24"/>
        </w:rPr>
      </w:pPr>
    </w:p>
    <w:p w14:paraId="6666E64F" w14:textId="7B4DE6FA" w:rsidR="00377466" w:rsidRPr="000433D1" w:rsidRDefault="00377466" w:rsidP="00887C85">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 xml:space="preserve">Una vez entendido que la protección de las actividades taurinas </w:t>
      </w:r>
      <w:r w:rsidR="00E67636" w:rsidRPr="000433D1">
        <w:rPr>
          <w:rFonts w:ascii="Book Antiqua" w:hAnsi="Book Antiqua" w:cs="Times New Roman"/>
          <w:sz w:val="24"/>
          <w:szCs w:val="24"/>
        </w:rPr>
        <w:t>se deriva de</w:t>
      </w:r>
      <w:r w:rsidRPr="000433D1">
        <w:rPr>
          <w:rFonts w:ascii="Book Antiqua" w:hAnsi="Book Antiqua" w:cs="Times New Roman"/>
          <w:sz w:val="24"/>
          <w:szCs w:val="24"/>
        </w:rPr>
        <w:t xml:space="preserve"> </w:t>
      </w:r>
      <w:r w:rsidR="00E67636" w:rsidRPr="000433D1">
        <w:rPr>
          <w:rFonts w:ascii="Book Antiqua" w:hAnsi="Book Antiqua" w:cs="Times New Roman"/>
          <w:sz w:val="24"/>
          <w:szCs w:val="24"/>
        </w:rPr>
        <w:t>su manifestación cultural y no como un grupo minoritario de personas que históricamente han sido discriminadas, es necesario precisar que esta actividad no constituye una expresión de cultura nacional; sino, por el contrario, como una práctica que se realiza culturalmente dentro de determinados territorios de la Nación.</w:t>
      </w:r>
    </w:p>
    <w:p w14:paraId="1916802C" w14:textId="77777777" w:rsidR="00377466" w:rsidRPr="000433D1" w:rsidRDefault="00377466" w:rsidP="00887C85">
      <w:pPr>
        <w:spacing w:after="0" w:line="240" w:lineRule="auto"/>
        <w:jc w:val="both"/>
        <w:rPr>
          <w:rFonts w:ascii="Book Antiqua" w:hAnsi="Book Antiqua" w:cs="Times New Roman"/>
          <w:sz w:val="24"/>
          <w:szCs w:val="24"/>
        </w:rPr>
      </w:pPr>
    </w:p>
    <w:p w14:paraId="73367A62" w14:textId="17EDC786" w:rsidR="001069CF" w:rsidRPr="000433D1" w:rsidRDefault="007048DE" w:rsidP="00887C85">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L</w:t>
      </w:r>
      <w:r w:rsidR="001069CF" w:rsidRPr="000433D1">
        <w:rPr>
          <w:rFonts w:ascii="Book Antiqua" w:hAnsi="Book Antiqua" w:cs="Times New Roman"/>
          <w:sz w:val="24"/>
          <w:szCs w:val="24"/>
        </w:rPr>
        <w:t>a Corte Constitucional ha entendido que el concepto de cultura es evolutivo.</w:t>
      </w:r>
      <w:r w:rsidR="001069CF" w:rsidRPr="000433D1">
        <w:rPr>
          <w:rStyle w:val="Refdenotaalpie"/>
          <w:rFonts w:ascii="Book Antiqua" w:hAnsi="Book Antiqua" w:cs="Times New Roman"/>
          <w:sz w:val="24"/>
          <w:szCs w:val="24"/>
        </w:rPr>
        <w:footnoteReference w:id="35"/>
      </w:r>
      <w:r w:rsidR="001069CF" w:rsidRPr="000433D1">
        <w:rPr>
          <w:rFonts w:ascii="Book Antiqua" w:hAnsi="Book Antiqua" w:cs="Times New Roman"/>
          <w:sz w:val="24"/>
          <w:szCs w:val="24"/>
        </w:rPr>
        <w:t xml:space="preserve"> Por ello, a pesar de que es constitucional que el Congreso de la República determine que los espectáculos taurinos sean expresiones artísticas del ser humano, esta definición puede cambiar</w:t>
      </w:r>
      <w:r w:rsidR="005F7FB7" w:rsidRPr="000433D1">
        <w:rPr>
          <w:rFonts w:ascii="Book Antiqua" w:hAnsi="Book Antiqua" w:cs="Times New Roman"/>
          <w:sz w:val="24"/>
          <w:szCs w:val="24"/>
        </w:rPr>
        <w:t xml:space="preserve"> e, incluso, negar la posibilidad de que los espectáculos taurinos sean manifestaciones culturales</w:t>
      </w:r>
      <w:r w:rsidR="009A4C1F" w:rsidRPr="000433D1">
        <w:rPr>
          <w:rFonts w:ascii="Book Antiqua" w:hAnsi="Book Antiqua" w:cs="Times New Roman"/>
          <w:sz w:val="24"/>
          <w:szCs w:val="24"/>
        </w:rPr>
        <w:t xml:space="preserve"> de carácter universal o, por lo menos, nacional</w:t>
      </w:r>
      <w:r w:rsidR="001069CF" w:rsidRPr="000433D1">
        <w:rPr>
          <w:rFonts w:ascii="Book Antiqua" w:hAnsi="Book Antiqua" w:cs="Times New Roman"/>
          <w:sz w:val="24"/>
          <w:szCs w:val="24"/>
        </w:rPr>
        <w:t>.</w:t>
      </w:r>
      <w:r w:rsidR="005F7FB7" w:rsidRPr="000433D1">
        <w:rPr>
          <w:rFonts w:ascii="Book Antiqua" w:hAnsi="Book Antiqua" w:cs="Times New Roman"/>
          <w:sz w:val="24"/>
          <w:szCs w:val="24"/>
        </w:rPr>
        <w:t xml:space="preserve"> </w:t>
      </w:r>
      <w:r w:rsidR="009A4C1F" w:rsidRPr="000433D1">
        <w:rPr>
          <w:rFonts w:ascii="Book Antiqua" w:hAnsi="Book Antiqua" w:cs="Times New Roman"/>
          <w:sz w:val="24"/>
          <w:szCs w:val="24"/>
        </w:rPr>
        <w:t xml:space="preserve">En ese </w:t>
      </w:r>
      <w:r w:rsidR="009A4C1F" w:rsidRPr="000433D1">
        <w:rPr>
          <w:rFonts w:ascii="Book Antiqua" w:hAnsi="Book Antiqua" w:cs="Times New Roman"/>
          <w:sz w:val="24"/>
          <w:szCs w:val="24"/>
        </w:rPr>
        <w:lastRenderedPageBreak/>
        <w:t>sentido, el Legislador tiene la potestad de definir si estas actividades pueden entenderse dentro del espectro de expresiones culturales que conforman la Nación o</w:t>
      </w:r>
      <w:r w:rsidR="00C01554" w:rsidRPr="000433D1">
        <w:rPr>
          <w:rFonts w:ascii="Book Antiqua" w:hAnsi="Book Antiqua" w:cs="Times New Roman"/>
          <w:sz w:val="24"/>
          <w:szCs w:val="24"/>
        </w:rPr>
        <w:t xml:space="preserve"> si, por el contrario, se trata</w:t>
      </w:r>
      <w:r w:rsidR="009A4C1F" w:rsidRPr="000433D1">
        <w:rPr>
          <w:rFonts w:ascii="Book Antiqua" w:hAnsi="Book Antiqua" w:cs="Times New Roman"/>
          <w:sz w:val="24"/>
          <w:szCs w:val="24"/>
        </w:rPr>
        <w:t xml:space="preserve"> de prácticas que, a pesar de tener un arraigo en el territorio, no se trate de una identificación </w:t>
      </w:r>
      <w:r w:rsidR="006F6C56" w:rsidRPr="000433D1">
        <w:rPr>
          <w:rFonts w:ascii="Book Antiqua" w:hAnsi="Book Antiqua" w:cs="Times New Roman"/>
          <w:sz w:val="24"/>
          <w:szCs w:val="24"/>
        </w:rPr>
        <w:t>cultural</w:t>
      </w:r>
      <w:r w:rsidR="009A4C1F" w:rsidRPr="000433D1">
        <w:rPr>
          <w:rFonts w:ascii="Book Antiqua" w:hAnsi="Book Antiqua" w:cs="Times New Roman"/>
          <w:sz w:val="24"/>
          <w:szCs w:val="24"/>
        </w:rPr>
        <w:t>.</w:t>
      </w:r>
    </w:p>
    <w:p w14:paraId="41740B62" w14:textId="77777777" w:rsidR="001069CF" w:rsidRPr="000433D1" w:rsidRDefault="001069CF" w:rsidP="00887C85">
      <w:pPr>
        <w:spacing w:after="0" w:line="240" w:lineRule="auto"/>
        <w:jc w:val="both"/>
        <w:rPr>
          <w:rFonts w:ascii="Book Antiqua" w:hAnsi="Book Antiqua" w:cs="Times New Roman"/>
          <w:sz w:val="24"/>
          <w:szCs w:val="24"/>
        </w:rPr>
      </w:pPr>
    </w:p>
    <w:p w14:paraId="49A06360" w14:textId="3A0FBBD6" w:rsidR="006F6C56" w:rsidRPr="000433D1" w:rsidRDefault="009A4C1F" w:rsidP="00887C85">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Los espectáculos taurinos como expresión cultural son</w:t>
      </w:r>
      <w:r w:rsidR="00887C85" w:rsidRPr="000433D1">
        <w:rPr>
          <w:rFonts w:ascii="Book Antiqua" w:hAnsi="Book Antiqua" w:cs="Times New Roman"/>
          <w:sz w:val="24"/>
          <w:szCs w:val="24"/>
        </w:rPr>
        <w:t xml:space="preserve"> actividades originadas en la influencia europea a lo largo del territorio y la historia nacional y, a su vez, este tipo de prácticas no se realizan en la totalidad de los municipios de la Nación, sino simplemente en lugares determinados. </w:t>
      </w:r>
      <w:r w:rsidR="006F6C56" w:rsidRPr="000433D1">
        <w:rPr>
          <w:rFonts w:ascii="Book Antiqua" w:hAnsi="Book Antiqua" w:cs="Times New Roman"/>
          <w:sz w:val="24"/>
          <w:szCs w:val="24"/>
        </w:rPr>
        <w:t>La adopción de</w:t>
      </w:r>
      <w:r w:rsidR="00C01554" w:rsidRPr="000433D1">
        <w:rPr>
          <w:rFonts w:ascii="Book Antiqua" w:hAnsi="Book Antiqua" w:cs="Times New Roman"/>
          <w:sz w:val="24"/>
          <w:szCs w:val="24"/>
        </w:rPr>
        <w:t xml:space="preserve"> estas prácticas taurinas tiene</w:t>
      </w:r>
      <w:r w:rsidR="006F6C56" w:rsidRPr="000433D1">
        <w:rPr>
          <w:rFonts w:ascii="Book Antiqua" w:hAnsi="Book Antiqua" w:cs="Times New Roman"/>
          <w:sz w:val="24"/>
          <w:szCs w:val="24"/>
        </w:rPr>
        <w:t xml:space="preserve"> una relación muy estrecha con ejercicios de colonización cultural realizadas desde Eu</w:t>
      </w:r>
      <w:r w:rsidR="00C01554" w:rsidRPr="000433D1">
        <w:rPr>
          <w:rFonts w:ascii="Book Antiqua" w:hAnsi="Book Antiqua" w:cs="Times New Roman"/>
          <w:sz w:val="24"/>
          <w:szCs w:val="24"/>
        </w:rPr>
        <w:t>ropa hacia América. L</w:t>
      </w:r>
      <w:r w:rsidR="006F6C56" w:rsidRPr="000433D1">
        <w:rPr>
          <w:rFonts w:ascii="Book Antiqua" w:hAnsi="Book Antiqua" w:cs="Times New Roman"/>
          <w:sz w:val="24"/>
          <w:szCs w:val="24"/>
        </w:rPr>
        <w:t xml:space="preserve">as prácticas colonizadoras no solo repercutieron en la </w:t>
      </w:r>
      <w:r w:rsidR="00E36863" w:rsidRPr="000433D1">
        <w:rPr>
          <w:rFonts w:ascii="Book Antiqua" w:hAnsi="Book Antiqua" w:cs="Times New Roman"/>
          <w:sz w:val="24"/>
          <w:szCs w:val="24"/>
        </w:rPr>
        <w:t xml:space="preserve">imposición de modelos de </w:t>
      </w:r>
      <w:r w:rsidR="006F6C56" w:rsidRPr="000433D1">
        <w:rPr>
          <w:rFonts w:ascii="Book Antiqua" w:hAnsi="Book Antiqua" w:cs="Times New Roman"/>
          <w:sz w:val="24"/>
          <w:szCs w:val="24"/>
        </w:rPr>
        <w:t>jerarquización de razas</w:t>
      </w:r>
      <w:r w:rsidR="00E36863" w:rsidRPr="000433D1">
        <w:rPr>
          <w:rFonts w:ascii="Book Antiqua" w:hAnsi="Book Antiqua" w:cs="Times New Roman"/>
          <w:sz w:val="24"/>
          <w:szCs w:val="24"/>
        </w:rPr>
        <w:t>, género y clases, sino también en la imposición de modelos de cultura. En ese sentido, es necesario comprender que los ejercicios de colonización tiene</w:t>
      </w:r>
      <w:r w:rsidR="00F07E18" w:rsidRPr="000433D1">
        <w:rPr>
          <w:rFonts w:ascii="Book Antiqua" w:hAnsi="Book Antiqua" w:cs="Times New Roman"/>
          <w:sz w:val="24"/>
          <w:szCs w:val="24"/>
        </w:rPr>
        <w:t>n</w:t>
      </w:r>
      <w:r w:rsidR="00E36863" w:rsidRPr="000433D1">
        <w:rPr>
          <w:rFonts w:ascii="Book Antiqua" w:hAnsi="Book Antiqua" w:cs="Times New Roman"/>
          <w:sz w:val="24"/>
          <w:szCs w:val="24"/>
        </w:rPr>
        <w:t xml:space="preserve"> la finalidad de borrar memorias históricas, procesos de reconocimiento </w:t>
      </w:r>
      <w:r w:rsidR="00F07E18" w:rsidRPr="000433D1">
        <w:rPr>
          <w:rFonts w:ascii="Book Antiqua" w:hAnsi="Book Antiqua" w:cs="Times New Roman"/>
          <w:sz w:val="24"/>
          <w:szCs w:val="24"/>
        </w:rPr>
        <w:t xml:space="preserve">e identidad </w:t>
      </w:r>
      <w:r w:rsidR="00E36863" w:rsidRPr="000433D1">
        <w:rPr>
          <w:rFonts w:ascii="Book Antiqua" w:hAnsi="Book Antiqua" w:cs="Times New Roman"/>
          <w:sz w:val="24"/>
          <w:szCs w:val="24"/>
        </w:rPr>
        <w:t>y, por tanto, entender que las expresiones de violencia no se limitan al exterminio físico de las comunidades colonizadas; sino, al exterminio cultural de las mismas.</w:t>
      </w:r>
      <w:r w:rsidR="00E36863" w:rsidRPr="000433D1">
        <w:rPr>
          <w:rStyle w:val="Refdenotaalpie"/>
          <w:rFonts w:ascii="Book Antiqua" w:hAnsi="Book Antiqua" w:cs="Times New Roman"/>
          <w:sz w:val="24"/>
          <w:szCs w:val="24"/>
        </w:rPr>
        <w:footnoteReference w:id="36"/>
      </w:r>
      <w:r w:rsidR="00F07E18" w:rsidRPr="000433D1">
        <w:rPr>
          <w:rFonts w:ascii="Book Antiqua" w:hAnsi="Book Antiqua" w:cs="Times New Roman"/>
          <w:sz w:val="24"/>
          <w:szCs w:val="24"/>
        </w:rPr>
        <w:t xml:space="preserve"> Por tal motivo, entender que las prácticas taurinas tienen una relación con la cultura nacional conlleva negar procesos históricos de violencia cultural, política, étnica y racial producto de actos de colonización; y, a su vez, adoptar y convalidar efectos de la colonización como expresiones propias de identidad nacional. </w:t>
      </w:r>
    </w:p>
    <w:p w14:paraId="41717F8C" w14:textId="77777777" w:rsidR="00F07E18" w:rsidRPr="000433D1" w:rsidRDefault="00F07E18" w:rsidP="00887C85">
      <w:pPr>
        <w:spacing w:after="0" w:line="240" w:lineRule="auto"/>
        <w:jc w:val="both"/>
        <w:rPr>
          <w:rFonts w:ascii="Book Antiqua" w:hAnsi="Book Antiqua" w:cs="Times New Roman"/>
          <w:sz w:val="24"/>
          <w:szCs w:val="24"/>
        </w:rPr>
      </w:pPr>
    </w:p>
    <w:p w14:paraId="2182826A" w14:textId="363D2B8A" w:rsidR="009A4C1F" w:rsidRPr="000433D1" w:rsidRDefault="00F07E18" w:rsidP="00887C85">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 xml:space="preserve">En segundo lugar, en todo caso, en el momento histórico en que se realizó el reconocimiento de las prácticas taurinas como expresiones de cultura por parte del Congreso de la República no se tenían en cuenta valores propios tales como la defensa de los derechos de los animales y la posibilidad de que los mismos sean sujetos morales. Esta perspectiva ha sido estudiada no solo en el ámbito de las ciencias sociales, sino también en la lectura de cláusulas constitucionales que, a pesar de ser </w:t>
      </w:r>
      <w:r w:rsidR="00761BD6" w:rsidRPr="000433D1">
        <w:rPr>
          <w:rFonts w:ascii="Book Antiqua" w:hAnsi="Book Antiqua" w:cs="Times New Roman"/>
          <w:sz w:val="24"/>
          <w:szCs w:val="24"/>
        </w:rPr>
        <w:t>concomitantes a la posibilidad de que las prácticas taurinas sean consideradas como expresión cultural, permiten una nueva lectura a partir de las nuevas investigaciones sociales, los nuevos valores culturales y las nuevas formas de apreciación que existe sobre estas actividades por parte de los diferentes estamento</w:t>
      </w:r>
      <w:r w:rsidR="007048DE" w:rsidRPr="000433D1">
        <w:rPr>
          <w:rFonts w:ascii="Book Antiqua" w:hAnsi="Book Antiqua" w:cs="Times New Roman"/>
          <w:sz w:val="24"/>
          <w:szCs w:val="24"/>
        </w:rPr>
        <w:t>s de la sociedad. Por tanto</w:t>
      </w:r>
      <w:r w:rsidR="00761BD6" w:rsidRPr="000433D1">
        <w:rPr>
          <w:rFonts w:ascii="Book Antiqua" w:hAnsi="Book Antiqua" w:cs="Times New Roman"/>
          <w:sz w:val="24"/>
          <w:szCs w:val="24"/>
        </w:rPr>
        <w:t xml:space="preserve">, </w:t>
      </w:r>
      <w:r w:rsidR="00887C85" w:rsidRPr="000433D1">
        <w:rPr>
          <w:rFonts w:ascii="Book Antiqua" w:hAnsi="Book Antiqua" w:cs="Times New Roman"/>
          <w:sz w:val="24"/>
          <w:szCs w:val="24"/>
        </w:rPr>
        <w:t xml:space="preserve">es necesario advertir el considerable incremento de agremiaciones, sociedades y asociaciones defensoras de los derechos de los animales en el territorio nacional que consideran que las prácticas o espectáculos taurinos </w:t>
      </w:r>
      <w:r w:rsidR="00887C85" w:rsidRPr="000433D1">
        <w:rPr>
          <w:rFonts w:ascii="Book Antiqua" w:hAnsi="Book Antiqua" w:cs="Times New Roman"/>
          <w:sz w:val="24"/>
          <w:szCs w:val="24"/>
        </w:rPr>
        <w:lastRenderedPageBreak/>
        <w:t>constituyen una expresión de maltrato animal y no una representación de una forma de cultura. En ese sentido, se reitera que, por una parte, las personas que participan en estas actividades no son una minoría constitucionalmente protegida y, a su vez, tampoco son una expresión de la cultura de la nación.</w:t>
      </w:r>
      <w:r w:rsidR="006F6C56" w:rsidRPr="000433D1">
        <w:rPr>
          <w:rFonts w:ascii="Book Antiqua" w:hAnsi="Book Antiqua" w:cs="Times New Roman"/>
          <w:sz w:val="24"/>
          <w:szCs w:val="24"/>
        </w:rPr>
        <w:t xml:space="preserve"> </w:t>
      </w:r>
    </w:p>
    <w:p w14:paraId="5BB4563E" w14:textId="77777777" w:rsidR="009A4C1F" w:rsidRPr="000433D1" w:rsidRDefault="009A4C1F" w:rsidP="00887C85">
      <w:pPr>
        <w:spacing w:after="0" w:line="240" w:lineRule="auto"/>
        <w:jc w:val="both"/>
        <w:rPr>
          <w:rFonts w:ascii="Book Antiqua" w:hAnsi="Book Antiqua" w:cs="Times New Roman"/>
          <w:sz w:val="24"/>
          <w:szCs w:val="24"/>
        </w:rPr>
      </w:pPr>
    </w:p>
    <w:p w14:paraId="32B52001" w14:textId="78939571" w:rsidR="00237986" w:rsidRPr="000433D1" w:rsidRDefault="00DF4AD5" w:rsidP="00746A5C">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 xml:space="preserve">En todo caso, la Corte Constitucional entendió que </w:t>
      </w:r>
      <w:r w:rsidR="006C7579" w:rsidRPr="000433D1">
        <w:rPr>
          <w:rFonts w:ascii="Book Antiqua" w:hAnsi="Book Antiqua" w:cs="Times New Roman"/>
          <w:sz w:val="24"/>
          <w:szCs w:val="24"/>
        </w:rPr>
        <w:t>las autoridades territoriales tienen la posibilidad de que, a pesar de no definir si estas actividades son expresiones culturales en su territorios -debido a que le corresponde al Legislador-</w:t>
      </w:r>
      <w:r w:rsidR="001A7B20" w:rsidRPr="000433D1">
        <w:rPr>
          <w:rFonts w:ascii="Book Antiqua" w:hAnsi="Book Antiqua" w:cs="Times New Roman"/>
          <w:sz w:val="24"/>
          <w:szCs w:val="24"/>
        </w:rPr>
        <w:t xml:space="preserve">, sí tienen la posibilidad de definir si estas prácticas tienen una </w:t>
      </w:r>
      <w:r w:rsidR="008F38FE" w:rsidRPr="000433D1">
        <w:rPr>
          <w:rFonts w:ascii="Book Antiqua" w:hAnsi="Book Antiqua" w:cs="Times New Roman"/>
          <w:sz w:val="24"/>
          <w:szCs w:val="24"/>
        </w:rPr>
        <w:t xml:space="preserve">son </w:t>
      </w:r>
      <w:r w:rsidR="008F38FE" w:rsidRPr="000433D1">
        <w:rPr>
          <w:rFonts w:ascii="Book Antiqua" w:hAnsi="Book Antiqua" w:cs="Times New Roman"/>
          <w:i/>
          <w:iCs/>
          <w:sz w:val="24"/>
          <w:szCs w:val="24"/>
        </w:rPr>
        <w:t>una tradición regular, periódica e ininterrumpida dentro de su territorio</w:t>
      </w:r>
      <w:r w:rsidR="008F38FE" w:rsidRPr="000433D1">
        <w:rPr>
          <w:rFonts w:ascii="Book Antiqua" w:hAnsi="Book Antiqua" w:cs="Times New Roman"/>
          <w:sz w:val="24"/>
          <w:szCs w:val="24"/>
        </w:rPr>
        <w:t xml:space="preserve">. </w:t>
      </w:r>
      <w:r w:rsidR="00055B98" w:rsidRPr="000433D1">
        <w:rPr>
          <w:rFonts w:ascii="Book Antiqua" w:hAnsi="Book Antiqua" w:cs="Times New Roman"/>
          <w:sz w:val="24"/>
          <w:szCs w:val="24"/>
        </w:rPr>
        <w:t xml:space="preserve">Por ello, el presente proyecto de ley, por una parte, entiende que las actividades taurinas no son expresiones culturales de carácter nacional, sino, territorial y, por tal motivo, permite que sean las entidades territoriales más próximas a la comunidad (municipios y distritos) quienes definan si este tipo de actividades deben realizarse en el territorio por ser una práctica arraigada a sus costumbres o si, por el contrario, simplemente son actividades que no constituyen </w:t>
      </w:r>
      <w:r w:rsidR="00307794" w:rsidRPr="000433D1">
        <w:rPr>
          <w:rFonts w:ascii="Book Antiqua" w:hAnsi="Book Antiqua" w:cs="Times New Roman"/>
          <w:sz w:val="24"/>
          <w:szCs w:val="24"/>
        </w:rPr>
        <w:t>su prácticas tradicionales comunitarias.</w:t>
      </w:r>
    </w:p>
    <w:p w14:paraId="5B8467AF" w14:textId="77777777" w:rsidR="00761BD6" w:rsidRPr="000433D1" w:rsidRDefault="00761BD6" w:rsidP="00746A5C">
      <w:pPr>
        <w:spacing w:after="0" w:line="240" w:lineRule="auto"/>
        <w:jc w:val="both"/>
        <w:rPr>
          <w:rFonts w:ascii="Book Antiqua" w:hAnsi="Book Antiqua" w:cs="Times New Roman"/>
          <w:sz w:val="24"/>
          <w:szCs w:val="24"/>
        </w:rPr>
      </w:pPr>
    </w:p>
    <w:p w14:paraId="3909EC50" w14:textId="5B0AA075" w:rsidR="00956072" w:rsidRPr="000433D1" w:rsidRDefault="00956072" w:rsidP="008A424C">
      <w:pPr>
        <w:pStyle w:val="Prrafodelista"/>
        <w:numPr>
          <w:ilvl w:val="0"/>
          <w:numId w:val="3"/>
        </w:numPr>
        <w:spacing w:after="0" w:line="240" w:lineRule="auto"/>
        <w:ind w:left="0" w:firstLine="0"/>
        <w:jc w:val="both"/>
        <w:rPr>
          <w:rFonts w:ascii="Book Antiqua" w:hAnsi="Book Antiqua" w:cs="Times New Roman"/>
          <w:b/>
          <w:bCs/>
          <w:sz w:val="24"/>
          <w:szCs w:val="24"/>
        </w:rPr>
      </w:pPr>
      <w:r w:rsidRPr="000433D1">
        <w:rPr>
          <w:rFonts w:ascii="Book Antiqua" w:hAnsi="Book Antiqua" w:cs="Times New Roman"/>
          <w:b/>
          <w:bCs/>
          <w:sz w:val="24"/>
          <w:szCs w:val="24"/>
        </w:rPr>
        <w:t>Sobre el tipo de ley requerido para realizar estas modificaciones</w:t>
      </w:r>
    </w:p>
    <w:p w14:paraId="50FCF0BD" w14:textId="11ACF501" w:rsidR="00956072" w:rsidRPr="000433D1" w:rsidRDefault="00956072" w:rsidP="00746A5C">
      <w:pPr>
        <w:spacing w:after="0" w:line="240" w:lineRule="auto"/>
        <w:jc w:val="both"/>
        <w:rPr>
          <w:rFonts w:ascii="Book Antiqua" w:hAnsi="Book Antiqua" w:cs="Times New Roman"/>
          <w:sz w:val="24"/>
          <w:szCs w:val="24"/>
        </w:rPr>
      </w:pPr>
    </w:p>
    <w:p w14:paraId="014DD661" w14:textId="02F47E77" w:rsidR="00AF1707" w:rsidRPr="000433D1" w:rsidRDefault="00AF1707" w:rsidP="00746A5C">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El artículo 151 de la Constitución Política establece que, por medio de las leyes orgánicas, el Congreso de la República reglamentará las materias relativas, entre otras, a “</w:t>
      </w:r>
      <w:r w:rsidRPr="000433D1">
        <w:rPr>
          <w:rFonts w:ascii="Book Antiqua" w:hAnsi="Book Antiqua" w:cs="Times New Roman"/>
          <w:i/>
          <w:iCs/>
          <w:sz w:val="24"/>
          <w:szCs w:val="24"/>
        </w:rPr>
        <w:t>la asignación de competencias normativas</w:t>
      </w:r>
      <w:r w:rsidR="009712EB" w:rsidRPr="000433D1">
        <w:rPr>
          <w:rFonts w:ascii="Book Antiqua" w:hAnsi="Book Antiqua" w:cs="Times New Roman"/>
          <w:i/>
          <w:iCs/>
          <w:sz w:val="24"/>
          <w:szCs w:val="24"/>
        </w:rPr>
        <w:t xml:space="preserve"> a las entidades territoriales</w:t>
      </w:r>
      <w:r w:rsidRPr="000433D1">
        <w:rPr>
          <w:rFonts w:ascii="Book Antiqua" w:hAnsi="Book Antiqua" w:cs="Times New Roman"/>
          <w:sz w:val="24"/>
          <w:szCs w:val="24"/>
        </w:rPr>
        <w:t>”</w:t>
      </w:r>
      <w:r w:rsidR="009712EB" w:rsidRPr="000433D1">
        <w:rPr>
          <w:rFonts w:ascii="Book Antiqua" w:hAnsi="Book Antiqua" w:cs="Times New Roman"/>
          <w:sz w:val="24"/>
          <w:szCs w:val="24"/>
        </w:rPr>
        <w:t>. En la sentencia C-600A de 1995, la Corte Constitucional expuso las materias que se relacionan con la legislación orgánica territorial.</w:t>
      </w:r>
      <w:r w:rsidR="009712EB" w:rsidRPr="000433D1">
        <w:rPr>
          <w:rStyle w:val="Refdenotaalpie"/>
          <w:rFonts w:ascii="Book Antiqua" w:hAnsi="Book Antiqua" w:cs="Times New Roman"/>
          <w:sz w:val="24"/>
          <w:szCs w:val="24"/>
        </w:rPr>
        <w:footnoteReference w:id="37"/>
      </w:r>
      <w:r w:rsidR="009712EB" w:rsidRPr="000433D1">
        <w:rPr>
          <w:rFonts w:ascii="Book Antiqua" w:hAnsi="Book Antiqua" w:cs="Times New Roman"/>
          <w:sz w:val="24"/>
          <w:szCs w:val="24"/>
        </w:rPr>
        <w:t xml:space="preserve"> Así, en primer lugar, expuso que este tipo de ley tiene una relación directa con la estructura y organización territorial.</w:t>
      </w:r>
      <w:r w:rsidR="009712EB" w:rsidRPr="000433D1">
        <w:rPr>
          <w:rStyle w:val="Refdenotaalpie"/>
          <w:rFonts w:ascii="Book Antiqua" w:hAnsi="Book Antiqua" w:cs="Times New Roman"/>
          <w:sz w:val="24"/>
          <w:szCs w:val="24"/>
        </w:rPr>
        <w:footnoteReference w:id="38"/>
      </w:r>
      <w:r w:rsidR="009712EB" w:rsidRPr="000433D1">
        <w:rPr>
          <w:rFonts w:ascii="Book Antiqua" w:hAnsi="Book Antiqua" w:cs="Times New Roman"/>
          <w:sz w:val="24"/>
          <w:szCs w:val="24"/>
        </w:rPr>
        <w:t xml:space="preserve"> A partir de allí, consideró que estas leyes reglamentan, entre otras materias, las condiciones y requisitos de existencia y la asignación de competencias normativas y no normativas de las entidades territoriales.</w:t>
      </w:r>
      <w:r w:rsidR="009712EB" w:rsidRPr="000433D1">
        <w:rPr>
          <w:rStyle w:val="Refdenotaalpie"/>
          <w:rFonts w:ascii="Book Antiqua" w:hAnsi="Book Antiqua" w:cs="Times New Roman"/>
          <w:sz w:val="24"/>
          <w:szCs w:val="24"/>
        </w:rPr>
        <w:footnoteReference w:id="39"/>
      </w:r>
    </w:p>
    <w:p w14:paraId="78A4427D" w14:textId="5097BC82" w:rsidR="00EE3BB3" w:rsidRPr="000433D1" w:rsidRDefault="00EE3BB3" w:rsidP="00746A5C">
      <w:pPr>
        <w:spacing w:after="0" w:line="240" w:lineRule="auto"/>
        <w:jc w:val="both"/>
        <w:rPr>
          <w:rFonts w:ascii="Book Antiqua" w:hAnsi="Book Antiqua" w:cs="Times New Roman"/>
          <w:sz w:val="24"/>
          <w:szCs w:val="24"/>
        </w:rPr>
      </w:pPr>
    </w:p>
    <w:p w14:paraId="6827A4CF" w14:textId="6BA62DAA" w:rsidR="00EE3BB3" w:rsidRPr="000433D1" w:rsidRDefault="00EE3BB3" w:rsidP="00746A5C">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Lo anterior fue precisado en las sentencias C-795 de 2000 y C-494 de 2015, donde la Corte Constitucional expuso que todo lo relacionado con la organización territorial debe ser reglamentado mediante Ley orgánica, salvo que haya establecido en forma directa por el poder constituyente:</w:t>
      </w:r>
    </w:p>
    <w:p w14:paraId="6132B7E9" w14:textId="71C647DF" w:rsidR="00EE3BB3" w:rsidRPr="000433D1" w:rsidRDefault="00EE3BB3" w:rsidP="00746A5C">
      <w:pPr>
        <w:spacing w:after="0" w:line="240" w:lineRule="auto"/>
        <w:jc w:val="both"/>
        <w:rPr>
          <w:rFonts w:ascii="Book Antiqua" w:hAnsi="Book Antiqua" w:cs="Times New Roman"/>
          <w:sz w:val="24"/>
          <w:szCs w:val="24"/>
        </w:rPr>
      </w:pPr>
    </w:p>
    <w:p w14:paraId="6206C4FA" w14:textId="3621364E" w:rsidR="00EE3BB3" w:rsidRPr="000433D1" w:rsidRDefault="00EE3BB3" w:rsidP="00EE3BB3">
      <w:pPr>
        <w:pStyle w:val="Textoindependiente2"/>
        <w:shd w:val="clear" w:color="auto" w:fill="FFFFFF"/>
        <w:spacing w:before="0" w:beforeAutospacing="0" w:after="0" w:afterAutospacing="0"/>
        <w:ind w:left="708" w:right="10"/>
        <w:jc w:val="both"/>
        <w:rPr>
          <w:rFonts w:ascii="Book Antiqua" w:hAnsi="Book Antiqua"/>
          <w:color w:val="2D2D2D"/>
        </w:rPr>
      </w:pPr>
      <w:r w:rsidRPr="000433D1">
        <w:rPr>
          <w:rFonts w:ascii="Book Antiqua" w:hAnsi="Book Antiqua"/>
        </w:rPr>
        <w:t>“</w:t>
      </w:r>
      <w:r w:rsidRPr="000433D1">
        <w:rPr>
          <w:rFonts w:ascii="Book Antiqua" w:hAnsi="Book Antiqua"/>
          <w:i/>
          <w:iCs/>
          <w:color w:val="2D2D2D"/>
        </w:rPr>
        <w:t>…los aspectos medulares de la </w:t>
      </w:r>
      <w:r w:rsidRPr="000433D1">
        <w:rPr>
          <w:rFonts w:ascii="Book Antiqua" w:hAnsi="Book Antiqua"/>
          <w:b/>
          <w:bCs/>
          <w:i/>
          <w:iCs/>
          <w:color w:val="2D2D2D"/>
        </w:rPr>
        <w:t>organización territorial</w:t>
      </w:r>
      <w:r w:rsidRPr="000433D1">
        <w:rPr>
          <w:rFonts w:ascii="Book Antiqua" w:hAnsi="Book Antiqua"/>
          <w:i/>
          <w:iCs/>
          <w:color w:val="2D2D2D"/>
        </w:rPr>
        <w:t>, en todo aquello no directamente definido por el Constituyente, sólo pueden ser regulados a través de la ley orgánica territorial. </w:t>
      </w:r>
      <w:r w:rsidRPr="000433D1">
        <w:rPr>
          <w:rFonts w:ascii="Book Antiqua" w:hAnsi="Book Antiqua"/>
          <w:b/>
          <w:bCs/>
          <w:i/>
          <w:iCs/>
          <w:color w:val="2D2D2D"/>
        </w:rPr>
        <w:t>Precisamente, se ha querido que esta materia se reserve a una categoría de ley orgánica,</w:t>
      </w:r>
      <w:r w:rsidRPr="000433D1">
        <w:rPr>
          <w:rFonts w:ascii="Book Antiqua" w:hAnsi="Book Antiqua"/>
          <w:i/>
          <w:iCs/>
          <w:color w:val="2D2D2D"/>
        </w:rPr>
        <w:t> entre otras razones, </w:t>
      </w:r>
      <w:r w:rsidRPr="000433D1">
        <w:rPr>
          <w:rFonts w:ascii="Book Antiqua" w:hAnsi="Book Antiqua"/>
          <w:b/>
          <w:bCs/>
          <w:i/>
          <w:iCs/>
          <w:color w:val="2D2D2D"/>
        </w:rPr>
        <w:t>por la necesidad de que las decisiones básicas se apoyen en el mayor consenso posible</w:t>
      </w:r>
      <w:r w:rsidRPr="000433D1">
        <w:rPr>
          <w:rFonts w:ascii="Book Antiqua" w:hAnsi="Book Antiqua"/>
          <w:i/>
          <w:iCs/>
          <w:color w:val="2D2D2D"/>
        </w:rPr>
        <w:t> y, además, se adopten mediante un instrumento normativo que desde un principio - no de manera casual o como resultado fortuito de las deliberaciones parlamentarias -, se ocupe del tema territorial...”</w:t>
      </w:r>
    </w:p>
    <w:p w14:paraId="38BFA0C2" w14:textId="77777777" w:rsidR="00EE3BB3" w:rsidRPr="000433D1" w:rsidRDefault="00EE3BB3" w:rsidP="00EE3BB3">
      <w:pPr>
        <w:shd w:val="clear" w:color="auto" w:fill="FFFFFF"/>
        <w:spacing w:after="0" w:line="240" w:lineRule="auto"/>
        <w:ind w:right="10"/>
        <w:jc w:val="both"/>
        <w:rPr>
          <w:rFonts w:ascii="Book Antiqua" w:eastAsia="Times New Roman" w:hAnsi="Book Antiqua" w:cs="Times New Roman"/>
          <w:color w:val="2D2D2D"/>
          <w:sz w:val="24"/>
          <w:szCs w:val="24"/>
          <w:lang w:eastAsia="es-CO"/>
        </w:rPr>
      </w:pPr>
      <w:r w:rsidRPr="000433D1">
        <w:rPr>
          <w:rFonts w:ascii="Book Antiqua" w:eastAsia="Times New Roman" w:hAnsi="Book Antiqua" w:cs="Times New Roman"/>
          <w:color w:val="2D2D2D"/>
          <w:sz w:val="24"/>
          <w:szCs w:val="24"/>
          <w:lang w:eastAsia="es-CO"/>
        </w:rPr>
        <w:t> </w:t>
      </w:r>
    </w:p>
    <w:p w14:paraId="5EC03B3C" w14:textId="77AF7FF7" w:rsidR="00EE3BB3" w:rsidRPr="000433D1" w:rsidRDefault="00EE3BB3" w:rsidP="00EE3BB3">
      <w:pPr>
        <w:shd w:val="clear" w:color="auto" w:fill="FFFFFF"/>
        <w:spacing w:after="0" w:line="240" w:lineRule="auto"/>
        <w:ind w:left="708" w:right="10"/>
        <w:jc w:val="both"/>
        <w:rPr>
          <w:rFonts w:ascii="Book Antiqua" w:eastAsia="Times New Roman" w:hAnsi="Book Antiqua" w:cs="Times New Roman"/>
          <w:color w:val="2D2D2D"/>
          <w:sz w:val="24"/>
          <w:szCs w:val="24"/>
          <w:lang w:eastAsia="es-CO"/>
        </w:rPr>
      </w:pPr>
      <w:r w:rsidRPr="000433D1">
        <w:rPr>
          <w:rFonts w:ascii="Book Antiqua" w:eastAsia="Times New Roman" w:hAnsi="Book Antiqua" w:cs="Times New Roman"/>
          <w:i/>
          <w:iCs/>
          <w:color w:val="2D2D2D"/>
          <w:sz w:val="24"/>
          <w:szCs w:val="24"/>
          <w:lang w:eastAsia="es-CO"/>
        </w:rPr>
        <w:t>Por todo aquello, se deduce que “Aunque en la Constitución puede encontrarse un principio de demarcación competencial respecto de la ordenación del territorio, particularmente en lo que atañe a los municipios, por sí solo no es suficiente para configurar el </w:t>
      </w:r>
      <w:r w:rsidRPr="000433D1">
        <w:rPr>
          <w:rFonts w:ascii="Book Antiqua" w:eastAsia="Times New Roman" w:hAnsi="Book Antiqua" w:cs="Times New Roman"/>
          <w:b/>
          <w:bCs/>
          <w:i/>
          <w:iCs/>
          <w:color w:val="2D2D2D"/>
          <w:sz w:val="24"/>
          <w:szCs w:val="24"/>
          <w:lang w:eastAsia="es-CO"/>
        </w:rPr>
        <w:t>régimen básico de ordenamiento territorial</w:t>
      </w:r>
      <w:r w:rsidRPr="000433D1">
        <w:rPr>
          <w:rFonts w:ascii="Book Antiqua" w:eastAsia="Times New Roman" w:hAnsi="Book Antiqua" w:cs="Times New Roman"/>
          <w:i/>
          <w:iCs/>
          <w:color w:val="2D2D2D"/>
          <w:sz w:val="24"/>
          <w:szCs w:val="24"/>
          <w:lang w:eastAsia="es-CO"/>
        </w:rPr>
        <w:t>. </w:t>
      </w:r>
      <w:r w:rsidRPr="000433D1">
        <w:rPr>
          <w:rFonts w:ascii="Book Antiqua" w:eastAsia="Times New Roman" w:hAnsi="Book Antiqua" w:cs="Times New Roman"/>
          <w:b/>
          <w:bCs/>
          <w:i/>
          <w:iCs/>
          <w:color w:val="2D2D2D"/>
          <w:sz w:val="24"/>
          <w:szCs w:val="24"/>
          <w:lang w:eastAsia="es-CO"/>
        </w:rPr>
        <w:t>Completar la configuración de este régimen, la distribución de competencias y atribución de funciones entre las distintas entidades y niveles territoriales, en lo que concierne a su contenido nuclear, no puede ser materia de ley ordinaria</w:t>
      </w:r>
      <w:r w:rsidRPr="000433D1">
        <w:rPr>
          <w:rFonts w:ascii="Book Antiqua" w:eastAsia="Times New Roman" w:hAnsi="Book Antiqua" w:cs="Times New Roman"/>
          <w:i/>
          <w:iCs/>
          <w:color w:val="2D2D2D"/>
          <w:sz w:val="24"/>
          <w:szCs w:val="24"/>
          <w:lang w:eastAsia="es-CO"/>
        </w:rPr>
        <w:t>, puesto que la propia Constitución dispuso que “[L]a ley orgánica de ordenamiento territorial establecerá la distribución de competencias entre la Nación y las entidades territoriales” (C.P. art. 288).”</w:t>
      </w:r>
    </w:p>
    <w:p w14:paraId="3A1B08A4" w14:textId="77777777" w:rsidR="001A4CF6" w:rsidRPr="000433D1" w:rsidRDefault="001A4CF6" w:rsidP="001A4CF6">
      <w:pPr>
        <w:pStyle w:val="Textoindependiente2"/>
        <w:shd w:val="clear" w:color="auto" w:fill="FFFFFF"/>
        <w:spacing w:before="0" w:beforeAutospacing="0" w:after="0" w:afterAutospacing="0"/>
        <w:ind w:right="10"/>
        <w:jc w:val="both"/>
        <w:rPr>
          <w:rFonts w:ascii="Book Antiqua" w:hAnsi="Book Antiqua"/>
          <w:color w:val="2D2D2D"/>
        </w:rPr>
      </w:pPr>
    </w:p>
    <w:p w14:paraId="42F5E49F" w14:textId="6AC277BE" w:rsidR="001A4CF6" w:rsidRPr="000433D1" w:rsidRDefault="001A4CF6" w:rsidP="001A4CF6">
      <w:pPr>
        <w:pStyle w:val="Textoindependiente2"/>
        <w:shd w:val="clear" w:color="auto" w:fill="FFFFFF"/>
        <w:spacing w:before="0" w:beforeAutospacing="0" w:after="0" w:afterAutospacing="0"/>
        <w:ind w:right="10"/>
        <w:jc w:val="both"/>
        <w:rPr>
          <w:rFonts w:ascii="Book Antiqua" w:hAnsi="Book Antiqua"/>
          <w:color w:val="2D2D2D"/>
        </w:rPr>
      </w:pPr>
      <w:r w:rsidRPr="000433D1">
        <w:rPr>
          <w:rFonts w:ascii="Book Antiqua" w:hAnsi="Book Antiqua"/>
          <w:color w:val="2D2D2D"/>
        </w:rPr>
        <w:t>Asimismo, expuso que la Constitución establece expresamente qué materias deben ser reguladas mediante ley orgánica, según la Constitución son las siguientes:</w:t>
      </w:r>
      <w:r w:rsidRPr="000433D1">
        <w:rPr>
          <w:rStyle w:val="Refdenotaalpie"/>
          <w:rFonts w:ascii="Book Antiqua" w:hAnsi="Book Antiqua"/>
          <w:color w:val="2D2D2D"/>
        </w:rPr>
        <w:footnoteReference w:id="40"/>
      </w:r>
    </w:p>
    <w:p w14:paraId="6E507037" w14:textId="77777777" w:rsidR="001A4CF6" w:rsidRPr="000433D1" w:rsidRDefault="001A4CF6" w:rsidP="001A4CF6">
      <w:pPr>
        <w:pStyle w:val="Textoindependiente2"/>
        <w:shd w:val="clear" w:color="auto" w:fill="FFFFFF"/>
        <w:spacing w:before="0" w:beforeAutospacing="0" w:after="0" w:afterAutospacing="0"/>
        <w:ind w:right="10"/>
        <w:jc w:val="both"/>
        <w:rPr>
          <w:rFonts w:ascii="Book Antiqua" w:hAnsi="Book Antiqua"/>
          <w:color w:val="2D2D2D"/>
        </w:rPr>
      </w:pPr>
      <w:r w:rsidRPr="000433D1">
        <w:rPr>
          <w:rFonts w:ascii="Book Antiqua" w:hAnsi="Book Antiqua"/>
          <w:i/>
          <w:iCs/>
          <w:color w:val="2D2D2D"/>
        </w:rPr>
        <w:t> </w:t>
      </w:r>
    </w:p>
    <w:p w14:paraId="3047D402" w14:textId="2AAAC7B8" w:rsidR="00EE3BB3" w:rsidRPr="000433D1" w:rsidRDefault="001A4CF6" w:rsidP="001A4CF6">
      <w:pPr>
        <w:pStyle w:val="Textoindependiente2"/>
        <w:shd w:val="clear" w:color="auto" w:fill="FFFFFF"/>
        <w:spacing w:before="0" w:beforeAutospacing="0" w:after="0" w:afterAutospacing="0"/>
        <w:ind w:left="708" w:right="10"/>
        <w:jc w:val="both"/>
        <w:rPr>
          <w:rFonts w:ascii="Book Antiqua" w:hAnsi="Book Antiqua"/>
          <w:color w:val="2D2D2D"/>
        </w:rPr>
      </w:pPr>
      <w:r w:rsidRPr="000433D1">
        <w:rPr>
          <w:rFonts w:ascii="Book Antiqua" w:hAnsi="Book Antiqua"/>
          <w:i/>
          <w:iCs/>
          <w:color w:val="2D2D2D"/>
        </w:rPr>
        <w:t xml:space="preserve">“ la asignación de competencias normativas a las entidades territoriales (CP, art 151); la distribución general de competencias entre la Nación y las entidades territoriales (CP art. 288); las reglas y requisitos para la formación de nuevos departamentos (CP art. 297); conversión de una región en entidad territorial y los principios para la adopción del estatuto especial de cada región, así como las atribuciones, los órganos de administración, y los recursos de las regiones y su participación en el manejo de </w:t>
      </w:r>
      <w:r w:rsidRPr="000433D1">
        <w:rPr>
          <w:rFonts w:ascii="Book Antiqua" w:hAnsi="Book Antiqua"/>
          <w:i/>
          <w:iCs/>
          <w:color w:val="2D2D2D"/>
        </w:rPr>
        <w:lastRenderedPageBreak/>
        <w:t>los ingresos provenientes del Fondo Nacional de Regalías (CP art. 307); el régimen administrativo y fiscal especial de las áreas metropolitanas, así como los mecanismos que garanticen la adecuada participación de las autoridades municipales en los órganos de administración de estas áreas, la conversión de éstas en distritos y la forma de convocar y realizar las consultas populares que decidan la vinculación de los municipios a las áreas metropolitanas (CP art. 319); las condiciones para la conformación de entidades territoriales indígenas  (CP art. 329)</w:t>
      </w:r>
    </w:p>
    <w:p w14:paraId="25975596" w14:textId="77777777" w:rsidR="00AF1707" w:rsidRPr="000433D1" w:rsidRDefault="00AF1707" w:rsidP="00746A5C">
      <w:pPr>
        <w:spacing w:after="0" w:line="240" w:lineRule="auto"/>
        <w:jc w:val="both"/>
        <w:rPr>
          <w:rFonts w:ascii="Book Antiqua" w:hAnsi="Book Antiqua" w:cs="Times New Roman"/>
          <w:sz w:val="24"/>
          <w:szCs w:val="24"/>
        </w:rPr>
      </w:pPr>
    </w:p>
    <w:p w14:paraId="333FD18D" w14:textId="73923C1F" w:rsidR="00E50878" w:rsidRPr="000433D1" w:rsidRDefault="001A4CF6" w:rsidP="00746A5C">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De manera concreta, l</w:t>
      </w:r>
      <w:r w:rsidR="00A91613" w:rsidRPr="000433D1">
        <w:rPr>
          <w:rFonts w:ascii="Book Antiqua" w:hAnsi="Book Antiqua" w:cs="Times New Roman"/>
          <w:sz w:val="24"/>
          <w:szCs w:val="24"/>
        </w:rPr>
        <w:t xml:space="preserve">a posibilidad de que el Congreso de la República </w:t>
      </w:r>
      <w:r w:rsidR="0080597F" w:rsidRPr="000433D1">
        <w:rPr>
          <w:rFonts w:ascii="Book Antiqua" w:hAnsi="Book Antiqua" w:cs="Times New Roman"/>
          <w:sz w:val="24"/>
          <w:szCs w:val="24"/>
        </w:rPr>
        <w:t>designe</w:t>
      </w:r>
      <w:r w:rsidR="00A91613" w:rsidRPr="000433D1">
        <w:rPr>
          <w:rFonts w:ascii="Book Antiqua" w:hAnsi="Book Antiqua" w:cs="Times New Roman"/>
          <w:sz w:val="24"/>
          <w:szCs w:val="24"/>
        </w:rPr>
        <w:t xml:space="preserve"> a las autoridades territorial </w:t>
      </w:r>
      <w:r w:rsidR="0080597F" w:rsidRPr="000433D1">
        <w:rPr>
          <w:rFonts w:ascii="Book Antiqua" w:hAnsi="Book Antiqua" w:cs="Times New Roman"/>
          <w:sz w:val="24"/>
          <w:szCs w:val="24"/>
        </w:rPr>
        <w:t xml:space="preserve">sobre la posibilidad de </w:t>
      </w:r>
      <w:r w:rsidR="00A91613" w:rsidRPr="000433D1">
        <w:rPr>
          <w:rFonts w:ascii="Book Antiqua" w:hAnsi="Book Antiqua" w:cs="Times New Roman"/>
          <w:sz w:val="24"/>
          <w:szCs w:val="24"/>
        </w:rPr>
        <w:t xml:space="preserve">decidir si las actividades taurinas </w:t>
      </w:r>
      <w:r w:rsidRPr="000433D1">
        <w:rPr>
          <w:rFonts w:ascii="Book Antiqua" w:hAnsi="Book Antiqua" w:cs="Times New Roman"/>
          <w:sz w:val="24"/>
          <w:szCs w:val="24"/>
        </w:rPr>
        <w:t xml:space="preserve">son manifestaciones ininterrumpidas de la cultura local conlleva la asignación de competencias normativas a las autoridades territoriales, razón por la cual, se considera necesario tramitar el presente proyecto de ley bajo las reglas </w:t>
      </w:r>
      <w:r w:rsidR="0093036F" w:rsidRPr="000433D1">
        <w:rPr>
          <w:rFonts w:ascii="Book Antiqua" w:hAnsi="Book Antiqua" w:cs="Times New Roman"/>
          <w:sz w:val="24"/>
          <w:szCs w:val="24"/>
        </w:rPr>
        <w:t>previstas en los artículos 204 y siguientes de la Ley 5 de 1992.</w:t>
      </w:r>
    </w:p>
    <w:p w14:paraId="4C195969" w14:textId="77777777" w:rsidR="00D96004" w:rsidRPr="000433D1" w:rsidRDefault="00D96004" w:rsidP="00746A5C">
      <w:pPr>
        <w:spacing w:after="0" w:line="240" w:lineRule="auto"/>
        <w:jc w:val="both"/>
        <w:rPr>
          <w:rFonts w:ascii="Book Antiqua" w:hAnsi="Book Antiqua" w:cs="Times New Roman"/>
          <w:sz w:val="24"/>
          <w:szCs w:val="24"/>
        </w:rPr>
      </w:pPr>
    </w:p>
    <w:p w14:paraId="46D5D03D" w14:textId="77777777" w:rsidR="00E50878" w:rsidRPr="000433D1" w:rsidRDefault="00E50878" w:rsidP="00746A5C">
      <w:pPr>
        <w:spacing w:after="0" w:line="240" w:lineRule="auto"/>
        <w:jc w:val="both"/>
        <w:rPr>
          <w:rFonts w:ascii="Book Antiqua" w:hAnsi="Book Antiqua" w:cs="Times New Roman"/>
          <w:sz w:val="24"/>
          <w:szCs w:val="24"/>
        </w:rPr>
      </w:pPr>
    </w:p>
    <w:p w14:paraId="2DD8D5A1" w14:textId="5940453C" w:rsidR="00746A5C" w:rsidRPr="000433D1" w:rsidRDefault="00E50878" w:rsidP="00E50878">
      <w:pPr>
        <w:pStyle w:val="Prrafodelista"/>
        <w:numPr>
          <w:ilvl w:val="0"/>
          <w:numId w:val="3"/>
        </w:numPr>
        <w:spacing w:after="0" w:line="240" w:lineRule="auto"/>
        <w:ind w:left="0" w:firstLine="0"/>
        <w:jc w:val="both"/>
        <w:rPr>
          <w:rFonts w:ascii="Book Antiqua" w:hAnsi="Book Antiqua" w:cs="Times New Roman"/>
          <w:b/>
          <w:bCs/>
          <w:sz w:val="24"/>
          <w:szCs w:val="24"/>
        </w:rPr>
      </w:pPr>
      <w:r w:rsidRPr="000433D1">
        <w:rPr>
          <w:rFonts w:ascii="Book Antiqua" w:hAnsi="Book Antiqua" w:cs="Times New Roman"/>
          <w:b/>
          <w:bCs/>
          <w:sz w:val="24"/>
          <w:szCs w:val="24"/>
        </w:rPr>
        <w:t xml:space="preserve">Sobre la competencia para presentar el presente proyecto de ley </w:t>
      </w:r>
    </w:p>
    <w:p w14:paraId="765BBE5E" w14:textId="2C017747" w:rsidR="002B6F25" w:rsidRPr="000433D1" w:rsidRDefault="002B6F25" w:rsidP="00746A5C">
      <w:pPr>
        <w:spacing w:after="0" w:line="240" w:lineRule="auto"/>
        <w:jc w:val="both"/>
        <w:rPr>
          <w:rFonts w:ascii="Book Antiqua" w:hAnsi="Book Antiqua" w:cs="Times New Roman"/>
          <w:sz w:val="24"/>
          <w:szCs w:val="24"/>
        </w:rPr>
      </w:pPr>
    </w:p>
    <w:p w14:paraId="19BA9226" w14:textId="522F18D4" w:rsidR="00A52113" w:rsidRDefault="00A52113" w:rsidP="00A52113">
      <w:pPr>
        <w:spacing w:after="0" w:line="240" w:lineRule="auto"/>
        <w:jc w:val="both"/>
        <w:rPr>
          <w:rFonts w:ascii="Book Antiqua" w:hAnsi="Book Antiqua" w:cs="Times New Roman"/>
          <w:sz w:val="24"/>
          <w:szCs w:val="24"/>
        </w:rPr>
      </w:pPr>
      <w:r w:rsidRPr="000433D1">
        <w:rPr>
          <w:rFonts w:ascii="Book Antiqua" w:hAnsi="Book Antiqua" w:cs="Times New Roman"/>
          <w:sz w:val="24"/>
          <w:szCs w:val="24"/>
        </w:rPr>
        <w:t>La Comisión Primera Constitucional de la Honorable Cámara de Representantes del Congreso de la República tiene la competencia constitucional y legal para tramitar proyectos de ley orgánica sobre organización territorial. A nivel constitucional, el art. 151 de la Constitución Política faculta al Congreso para expedir este tipo de leyes, particularmente aquellas que establezcan la “</w:t>
      </w:r>
      <w:r w:rsidRPr="000433D1">
        <w:rPr>
          <w:rFonts w:ascii="Book Antiqua" w:hAnsi="Book Antiqua" w:cs="Times New Roman"/>
          <w:i/>
          <w:iCs/>
          <w:sz w:val="24"/>
          <w:szCs w:val="24"/>
        </w:rPr>
        <w:t>asignación de competencias normativas a las entidades territoriales</w:t>
      </w:r>
      <w:r w:rsidRPr="000433D1">
        <w:rPr>
          <w:rFonts w:ascii="Book Antiqua" w:hAnsi="Book Antiqua" w:cs="Times New Roman"/>
          <w:sz w:val="24"/>
          <w:szCs w:val="24"/>
        </w:rPr>
        <w:t>”</w:t>
      </w:r>
      <w:r w:rsidRPr="000433D1">
        <w:rPr>
          <w:rFonts w:ascii="Book Antiqua" w:hAnsi="Book Antiqua" w:cs="Times New Roman"/>
          <w:sz w:val="24"/>
          <w:szCs w:val="24"/>
          <w:vertAlign w:val="superscript"/>
        </w:rPr>
        <w:footnoteReference w:id="41"/>
      </w:r>
      <w:r w:rsidRPr="000433D1">
        <w:rPr>
          <w:rFonts w:ascii="Book Antiqua" w:hAnsi="Book Antiqua" w:cs="Times New Roman"/>
          <w:sz w:val="24"/>
          <w:szCs w:val="24"/>
        </w:rPr>
        <w:t>. A nivel legal, el reglamento del Congreso establece que ambas cámaras tramitarán como proyectos de ley orgánica aquellas propuestas “[…] relativas a la asignación de competencias a las entidades territoriales y entre éstas y la Nación”</w:t>
      </w:r>
      <w:r w:rsidRPr="000433D1">
        <w:rPr>
          <w:rFonts w:ascii="Book Antiqua" w:hAnsi="Book Antiqua" w:cs="Times New Roman"/>
          <w:sz w:val="24"/>
          <w:szCs w:val="24"/>
          <w:vertAlign w:val="superscript"/>
        </w:rPr>
        <w:footnoteReference w:id="42"/>
      </w:r>
      <w:r w:rsidRPr="000433D1">
        <w:rPr>
          <w:rFonts w:ascii="Book Antiqua" w:hAnsi="Book Antiqua" w:cs="Times New Roman"/>
          <w:sz w:val="24"/>
          <w:szCs w:val="24"/>
        </w:rPr>
        <w:t>. Finalmente, el art. 2° de la Ley 3</w:t>
      </w:r>
      <w:r w:rsidR="0095728A" w:rsidRPr="000433D1">
        <w:rPr>
          <w:rFonts w:ascii="Book Antiqua" w:hAnsi="Book Antiqua" w:cs="Times New Roman"/>
          <w:sz w:val="24"/>
          <w:szCs w:val="24"/>
        </w:rPr>
        <w:t>°</w:t>
      </w:r>
      <w:r w:rsidRPr="000433D1">
        <w:rPr>
          <w:rFonts w:ascii="Book Antiqua" w:hAnsi="Book Antiqua" w:cs="Times New Roman"/>
          <w:sz w:val="24"/>
          <w:szCs w:val="24"/>
        </w:rPr>
        <w:t xml:space="preserve"> de 1992, relativa a las normas sobre las Comisiones del Congreso de Colombia, establece </w:t>
      </w:r>
      <w:r w:rsidR="00D012AD" w:rsidRPr="000433D1">
        <w:rPr>
          <w:rFonts w:ascii="Book Antiqua" w:hAnsi="Book Antiqua" w:cs="Times New Roman"/>
          <w:sz w:val="24"/>
          <w:szCs w:val="24"/>
        </w:rPr>
        <w:t xml:space="preserve">específicamente </w:t>
      </w:r>
      <w:r w:rsidRPr="000433D1">
        <w:rPr>
          <w:rFonts w:ascii="Book Antiqua" w:hAnsi="Book Antiqua" w:cs="Times New Roman"/>
          <w:sz w:val="24"/>
          <w:szCs w:val="24"/>
        </w:rPr>
        <w:t>que las comisiones primeras permanentes, tanto en Cámara como en Senado, conocerán de los asuntos de organización territorial</w:t>
      </w:r>
      <w:r w:rsidRPr="000433D1">
        <w:rPr>
          <w:rFonts w:ascii="Book Antiqua" w:hAnsi="Book Antiqua" w:cs="Times New Roman"/>
          <w:sz w:val="24"/>
          <w:szCs w:val="24"/>
          <w:vertAlign w:val="superscript"/>
        </w:rPr>
        <w:footnoteReference w:id="43"/>
      </w:r>
      <w:r w:rsidRPr="000433D1">
        <w:rPr>
          <w:rFonts w:ascii="Book Antiqua" w:hAnsi="Book Antiqua" w:cs="Times New Roman"/>
          <w:sz w:val="24"/>
          <w:szCs w:val="24"/>
        </w:rPr>
        <w:t>.</w:t>
      </w:r>
    </w:p>
    <w:p w14:paraId="73D86730" w14:textId="4FFB8509" w:rsidR="00177EEB" w:rsidRDefault="00177EEB" w:rsidP="00A52113">
      <w:pPr>
        <w:spacing w:after="0" w:line="240" w:lineRule="auto"/>
        <w:jc w:val="both"/>
        <w:rPr>
          <w:rFonts w:ascii="Book Antiqua" w:hAnsi="Book Antiqua" w:cs="Times New Roman"/>
          <w:sz w:val="24"/>
          <w:szCs w:val="24"/>
        </w:rPr>
      </w:pPr>
    </w:p>
    <w:p w14:paraId="7F2B99FC" w14:textId="46BF5215" w:rsidR="00177EEB" w:rsidRDefault="00177EEB" w:rsidP="00A52113">
      <w:pPr>
        <w:spacing w:after="0" w:line="240" w:lineRule="auto"/>
        <w:jc w:val="both"/>
        <w:rPr>
          <w:rFonts w:ascii="Book Antiqua" w:hAnsi="Book Antiqua" w:cs="Times New Roman"/>
          <w:sz w:val="24"/>
          <w:szCs w:val="24"/>
        </w:rPr>
      </w:pPr>
    </w:p>
    <w:p w14:paraId="34BCBB15" w14:textId="77777777" w:rsidR="00177EEB" w:rsidRPr="000433D1" w:rsidRDefault="00177EEB" w:rsidP="00A52113">
      <w:pPr>
        <w:spacing w:after="0" w:line="240" w:lineRule="auto"/>
        <w:jc w:val="both"/>
        <w:rPr>
          <w:rFonts w:ascii="Book Antiqua" w:hAnsi="Book Antiqua" w:cs="Times New Roman"/>
          <w:sz w:val="24"/>
          <w:szCs w:val="24"/>
        </w:rPr>
      </w:pPr>
    </w:p>
    <w:p w14:paraId="4804395A" w14:textId="03F74743" w:rsidR="006938E4" w:rsidRPr="000433D1" w:rsidRDefault="006938E4" w:rsidP="00A52113">
      <w:pPr>
        <w:spacing w:after="0" w:line="240" w:lineRule="auto"/>
        <w:jc w:val="both"/>
        <w:rPr>
          <w:rFonts w:ascii="Book Antiqua" w:hAnsi="Book Antiqua" w:cs="Times New Roman"/>
          <w:sz w:val="24"/>
          <w:szCs w:val="24"/>
        </w:rPr>
      </w:pPr>
    </w:p>
    <w:p w14:paraId="265524B6" w14:textId="2B6E104B" w:rsidR="00D552A5" w:rsidRDefault="00D552A5" w:rsidP="00D552A5">
      <w:pPr>
        <w:pStyle w:val="Prrafodelista"/>
        <w:shd w:val="clear" w:color="auto" w:fill="FFFFFF"/>
        <w:spacing w:after="0" w:line="276" w:lineRule="auto"/>
        <w:ind w:right="193"/>
        <w:jc w:val="both"/>
        <w:rPr>
          <w:rFonts w:ascii="Book Antiqua" w:hAnsi="Book Antiqua"/>
          <w:b/>
          <w:bCs/>
          <w:sz w:val="24"/>
          <w:szCs w:val="24"/>
        </w:rPr>
      </w:pPr>
    </w:p>
    <w:p w14:paraId="1BE943FA" w14:textId="7C91E46B" w:rsidR="00EC201D" w:rsidRPr="00D552A5" w:rsidRDefault="00D552A5" w:rsidP="00D552A5">
      <w:pPr>
        <w:pStyle w:val="Prrafodelista"/>
        <w:numPr>
          <w:ilvl w:val="0"/>
          <w:numId w:val="2"/>
        </w:numPr>
        <w:spacing w:after="0" w:line="240" w:lineRule="auto"/>
        <w:jc w:val="both"/>
        <w:rPr>
          <w:rFonts w:ascii="Book Antiqua" w:hAnsi="Book Antiqua" w:cs="Times New Roman"/>
          <w:b/>
          <w:bCs/>
          <w:sz w:val="24"/>
          <w:szCs w:val="24"/>
        </w:rPr>
      </w:pPr>
      <w:r w:rsidRPr="00D552A5">
        <w:rPr>
          <w:rFonts w:ascii="Book Antiqua" w:hAnsi="Book Antiqua"/>
          <w:b/>
          <w:bCs/>
          <w:sz w:val="24"/>
          <w:szCs w:val="24"/>
        </w:rPr>
        <w:lastRenderedPageBreak/>
        <w:t xml:space="preserve">IMPACTO FISCAL </w:t>
      </w:r>
    </w:p>
    <w:p w14:paraId="514D49D1" w14:textId="77777777" w:rsidR="00EC201D" w:rsidRPr="00EC201D" w:rsidRDefault="00EC201D" w:rsidP="00EC201D">
      <w:pPr>
        <w:pStyle w:val="Prrafodelista"/>
        <w:shd w:val="clear" w:color="auto" w:fill="FFFFFF"/>
        <w:spacing w:after="0" w:line="276" w:lineRule="auto"/>
        <w:ind w:right="193"/>
        <w:jc w:val="both"/>
        <w:rPr>
          <w:rFonts w:ascii="Book Antiqua" w:hAnsi="Book Antiqua"/>
          <w:b/>
          <w:bCs/>
          <w:sz w:val="24"/>
          <w:szCs w:val="24"/>
        </w:rPr>
      </w:pPr>
    </w:p>
    <w:p w14:paraId="0F7A0C22" w14:textId="291BB136" w:rsidR="00EC201D" w:rsidRPr="00EC201D" w:rsidRDefault="00EC201D" w:rsidP="00EC201D">
      <w:pPr>
        <w:jc w:val="both"/>
        <w:rPr>
          <w:rFonts w:ascii="Book Antiqua" w:hAnsi="Book Antiqua" w:cs="Arial"/>
          <w:lang w:val="es-ES"/>
        </w:rPr>
      </w:pPr>
      <w:r w:rsidRPr="00EC201D">
        <w:rPr>
          <w:rFonts w:ascii="Book Antiqua" w:hAnsi="Book Antiqua" w:cs="Arial"/>
          <w:lang w:val="es-ES"/>
        </w:rPr>
        <w:t xml:space="preserve">La Ley 819 de 2003 “Por la cual se dictan normas orgánicas en materia de presupuesto, responsabilidad y transparencia fiscal y se dictan otras disposiciones”, en el artículo 7 establece el análisis del impacto fiscal de las normas, de la siguiente manera: </w:t>
      </w:r>
    </w:p>
    <w:p w14:paraId="5830334A" w14:textId="77777777" w:rsidR="00EC201D" w:rsidRPr="00EC201D" w:rsidRDefault="00EC201D" w:rsidP="00EC201D">
      <w:pPr>
        <w:ind w:left="708"/>
        <w:jc w:val="both"/>
        <w:rPr>
          <w:rFonts w:ascii="Book Antiqua" w:hAnsi="Book Antiqua" w:cs="Arial"/>
        </w:rPr>
      </w:pPr>
      <w:r w:rsidRPr="00EC201D">
        <w:rPr>
          <w:rFonts w:ascii="Book Antiqua" w:hAnsi="Book Antiqua" w:cs="Arial"/>
          <w:lang w:val="es-ES"/>
        </w:rPr>
        <w:t>“</w:t>
      </w:r>
      <w:bookmarkStart w:id="0" w:name="7"/>
      <w:r w:rsidRPr="00EC201D">
        <w:rPr>
          <w:rFonts w:ascii="Book Antiqua" w:hAnsi="Book Antiqua" w:cs="Arial"/>
          <w:b/>
          <w:bCs/>
          <w:u w:val="single"/>
        </w:rPr>
        <w:t>ARTÍCULO 7o. ANÁLISIS DEL IMPACTO FISCAL DE LAS NORMAS.</w:t>
      </w:r>
      <w:bookmarkEnd w:id="0"/>
      <w:r w:rsidRPr="00EC201D">
        <w:rPr>
          <w:rFonts w:ascii="Book Antiqua" w:hAnsi="Book Antiqua" w:cs="Arial"/>
        </w:rPr>
        <w:t> En todo momento, el impacto fiscal de cualquier proyecto de ley, ordenanza o acuerdo, que ordene gasto o que otorgue beneficios tributarios, deberá hacerse explícito y deberá ser compatible con el Marco Fiscal de Mediano Plazo.</w:t>
      </w:r>
    </w:p>
    <w:p w14:paraId="4C2C8DE6" w14:textId="77777777" w:rsidR="00EC201D" w:rsidRPr="00EC201D" w:rsidRDefault="00EC201D" w:rsidP="00EC201D">
      <w:pPr>
        <w:ind w:left="708"/>
        <w:jc w:val="both"/>
        <w:rPr>
          <w:rFonts w:ascii="Book Antiqua" w:hAnsi="Book Antiqua" w:cs="Arial"/>
        </w:rPr>
      </w:pPr>
      <w:r w:rsidRPr="00EC201D">
        <w:rPr>
          <w:rFonts w:ascii="Book Antiqua" w:hAnsi="Book Antiqua" w:cs="Arial"/>
        </w:rPr>
        <w:t>Para estos propósitos, deberá incluirse expresamente en la exposición de motivos y en las ponencias de trámite respectivas los costos fiscales de la iniciativa y la fuente de ingreso adicional generada para el financiamiento de dicho costo.</w:t>
      </w:r>
    </w:p>
    <w:p w14:paraId="6A9391C3" w14:textId="620BC815" w:rsidR="00EC201D" w:rsidRPr="00EC201D" w:rsidRDefault="00EC201D" w:rsidP="00D552A5">
      <w:pPr>
        <w:ind w:left="708"/>
        <w:jc w:val="both"/>
        <w:rPr>
          <w:rFonts w:ascii="Book Antiqua" w:hAnsi="Book Antiqua" w:cs="Arial"/>
        </w:rPr>
      </w:pPr>
      <w:r w:rsidRPr="00EC201D">
        <w:rPr>
          <w:rFonts w:ascii="Book Antiqua" w:hAnsi="Book Antiqua" w:cs="Arial"/>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0A6680F6" w14:textId="4016D430" w:rsidR="00EC201D" w:rsidRPr="00EC201D" w:rsidRDefault="00EC201D" w:rsidP="00D552A5">
      <w:pPr>
        <w:ind w:left="708"/>
        <w:jc w:val="both"/>
        <w:rPr>
          <w:rFonts w:ascii="Book Antiqua" w:hAnsi="Book Antiqua" w:cs="Arial"/>
        </w:rPr>
      </w:pPr>
      <w:r w:rsidRPr="00EC201D">
        <w:rPr>
          <w:rFonts w:ascii="Book Antiqua" w:hAnsi="Book Antiqua" w:cs="Arial"/>
        </w:rPr>
        <w:t>Los proyectos de ley de iniciativa gubernamental, que planteen un gasto adicional o una reducción de ingresos, deberán contener la correspondiente fuente sustitutiva por disminución de gasto o aumentos de ingresos, lo cual deberá ser analizado y aprobado por el Ministerio de Hacienda y Crédito Público.</w:t>
      </w:r>
    </w:p>
    <w:p w14:paraId="1A2807D3" w14:textId="46D6FF9E" w:rsidR="00EC201D" w:rsidRPr="00D552A5" w:rsidRDefault="00EC201D" w:rsidP="00D552A5">
      <w:pPr>
        <w:ind w:left="708"/>
        <w:jc w:val="both"/>
        <w:rPr>
          <w:rFonts w:ascii="Book Antiqua" w:hAnsi="Book Antiqua" w:cs="Arial"/>
        </w:rPr>
      </w:pPr>
      <w:r w:rsidRPr="00EC201D">
        <w:rPr>
          <w:rFonts w:ascii="Book Antiqua" w:hAnsi="Book Antiqua" w:cs="Arial"/>
        </w:rPr>
        <w:t>En las entidades territoriales, el trámite previsto en el inciso anterior será surtido ante la respectiva Secretaría de Hacienda o quien haga sus veces”.</w:t>
      </w:r>
    </w:p>
    <w:p w14:paraId="5DC20EBA" w14:textId="4119237F" w:rsidR="00EC201D" w:rsidRPr="00EC201D" w:rsidRDefault="00EC201D" w:rsidP="00EC201D">
      <w:pPr>
        <w:jc w:val="both"/>
        <w:rPr>
          <w:rFonts w:ascii="Book Antiqua" w:hAnsi="Book Antiqua" w:cs="Arial"/>
          <w:lang w:val="es-ES"/>
        </w:rPr>
      </w:pPr>
      <w:r w:rsidRPr="00EC201D">
        <w:rPr>
          <w:rFonts w:ascii="Book Antiqua" w:hAnsi="Book Antiqua" w:cs="Arial"/>
          <w:lang w:val="es-ES"/>
        </w:rPr>
        <w:t xml:space="preserve">Por tanto, los gastos que genere la presente iniciativa se entenderán incluidos en los presupuestos y en el Plan Operativo de Inversión de la entidad competente. </w:t>
      </w:r>
    </w:p>
    <w:p w14:paraId="78BBEA88" w14:textId="77777777" w:rsidR="00EC201D" w:rsidRPr="00EC201D" w:rsidRDefault="00EC201D" w:rsidP="00EC201D">
      <w:pPr>
        <w:jc w:val="both"/>
        <w:rPr>
          <w:rFonts w:ascii="Book Antiqua" w:hAnsi="Book Antiqua" w:cs="Arial"/>
          <w:lang w:val="es-ES"/>
        </w:rPr>
      </w:pPr>
      <w:r w:rsidRPr="00EC201D">
        <w:rPr>
          <w:rFonts w:ascii="Book Antiqua" w:hAnsi="Book Antiqua" w:cs="Arial"/>
          <w:lang w:val="es-ES"/>
        </w:rPr>
        <w:t xml:space="preserve">El Estado tiene la obligación de destinar los recursos necesarios para garantizar y proteger el derecho a la recreación y el deporte. Por ello, una vez promulgada la ley, el Gobierno Nacional deberá promover su ejercicio y cumplimiento, en donde el requisito del artículo 7 de la ley 819 de 2003 no se convierta en un obstáculo, para que las corporaciones públicas ejerzan la función legislativa y normativa como lo ha reconocido la Corte Constitucional: </w:t>
      </w:r>
    </w:p>
    <w:p w14:paraId="5C215200" w14:textId="77777777" w:rsidR="00EC201D" w:rsidRPr="00EC201D" w:rsidRDefault="00EC201D" w:rsidP="00EC201D">
      <w:pPr>
        <w:jc w:val="both"/>
        <w:rPr>
          <w:rFonts w:ascii="Book Antiqua" w:hAnsi="Book Antiqua" w:cs="Arial"/>
          <w:lang w:val="es-ES"/>
        </w:rPr>
      </w:pPr>
    </w:p>
    <w:p w14:paraId="7556BA0D" w14:textId="7C738378" w:rsidR="00EC201D" w:rsidRPr="00EC201D" w:rsidRDefault="00EC201D" w:rsidP="00D552A5">
      <w:pPr>
        <w:shd w:val="clear" w:color="auto" w:fill="FFFFFF"/>
        <w:ind w:left="708"/>
        <w:jc w:val="both"/>
        <w:rPr>
          <w:rFonts w:ascii="Book Antiqua" w:hAnsi="Book Antiqua" w:cs="Arial"/>
          <w:color w:val="2D2D2D"/>
        </w:rPr>
      </w:pPr>
      <w:r w:rsidRPr="00EC201D">
        <w:rPr>
          <w:rFonts w:ascii="Book Antiqua" w:hAnsi="Book Antiqua" w:cs="Arial"/>
          <w:lang w:val="es-ES"/>
        </w:rPr>
        <w:t>“</w:t>
      </w:r>
      <w:r w:rsidRPr="00EC201D">
        <w:rPr>
          <w:rFonts w:ascii="Book Antiqua" w:hAnsi="Book Antiqua" w:cs="Arial"/>
          <w:color w:val="2D2D2D"/>
        </w:rPr>
        <w:t xml:space="preserve">Por una parte, los requisitos contenidos en el artículo presuponen que los congresistas – o las bancadas - tengan los conocimientos y herramientas suficientes </w:t>
      </w:r>
      <w:r w:rsidRPr="00EC201D">
        <w:rPr>
          <w:rFonts w:ascii="Book Antiqua" w:hAnsi="Book Antiqua" w:cs="Arial"/>
          <w:color w:val="2D2D2D"/>
        </w:rPr>
        <w:lastRenderedPageBreak/>
        <w:t>para estimar los costos fiscales de una iniciativa legal, para determinar la fuente con la que podrían financiarse y para valorar sus proyectos frente al Marco Fiscal de Mediano Plazo. En la realidad, aceptar que las condiciones establecidas en el art.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Pr="00EC201D">
        <w:rPr>
          <w:rStyle w:val="Refdenotaalpie"/>
          <w:rFonts w:ascii="Book Antiqua" w:hAnsi="Book Antiqua"/>
          <w:i/>
          <w:iCs/>
          <w:color w:val="2D2D2D"/>
        </w:rPr>
        <w:t xml:space="preserve"> </w:t>
      </w:r>
      <w:r w:rsidRPr="00EC201D">
        <w:rPr>
          <w:rStyle w:val="Refdenotaalpie"/>
          <w:rFonts w:ascii="Book Antiqua" w:hAnsi="Book Antiqua"/>
          <w:i/>
          <w:iCs/>
          <w:color w:val="2D2D2D"/>
        </w:rPr>
        <w:footnoteReference w:id="44"/>
      </w:r>
      <w:r w:rsidRPr="00EC201D">
        <w:rPr>
          <w:rFonts w:ascii="Book Antiqua" w:hAnsi="Book Antiqua"/>
          <w:i/>
          <w:iCs/>
          <w:color w:val="2D2D2D"/>
        </w:rPr>
        <w:t>.</w:t>
      </w:r>
    </w:p>
    <w:p w14:paraId="1284B16C" w14:textId="481D849E" w:rsidR="00EC201D" w:rsidRPr="00EC201D" w:rsidRDefault="00EC201D" w:rsidP="00D552A5">
      <w:pPr>
        <w:shd w:val="clear" w:color="auto" w:fill="FFFFFF"/>
        <w:jc w:val="both"/>
        <w:rPr>
          <w:rFonts w:ascii="Book Antiqua" w:hAnsi="Book Antiqua" w:cs="Arial"/>
          <w:color w:val="2D2D2D"/>
        </w:rPr>
      </w:pPr>
      <w:r w:rsidRPr="00EC201D">
        <w:rPr>
          <w:rFonts w:ascii="Book Antiqua" w:hAnsi="Book Antiqua" w:cs="Arial"/>
          <w:color w:val="2D2D2D"/>
        </w:rPr>
        <w:t xml:space="preserve">Es así como la Corte Constitucional considera que el estudio del impacto fiscal para un proyecto de ley no puede considerarse como un obstáculo insuperable para la actividad legislativa; es el Ministerio de Hacienda, la entidad competente y con las herramientas suficientes para adelantar este tipo de estudios, que complementen las exposiciones de motivos de las iniciativas legislativas, como entidad de apoyo: </w:t>
      </w:r>
    </w:p>
    <w:p w14:paraId="4E4A8813" w14:textId="2F757E3C" w:rsidR="00EC201D" w:rsidRPr="00D552A5" w:rsidRDefault="00EC201D" w:rsidP="00D552A5">
      <w:pPr>
        <w:shd w:val="clear" w:color="auto" w:fill="FFFFFF"/>
        <w:ind w:left="708"/>
        <w:jc w:val="both"/>
        <w:rPr>
          <w:rFonts w:ascii="Book Antiqua" w:hAnsi="Book Antiqua"/>
          <w:color w:val="2D2D2D"/>
        </w:rPr>
      </w:pPr>
      <w:r w:rsidRPr="00EC201D">
        <w:rPr>
          <w:rFonts w:ascii="Book Antiqua" w:hAnsi="Book Antiqua" w:cs="Arial"/>
          <w:color w:val="2D2D2D"/>
        </w:rPr>
        <w:t>“Precisamente, los obstáculos casi insuperables que se generarían para la actividad legislativa del Congreso de la República conducirían a concederle una forma de poder de veto al ministro de Hacienda sobre las iniciativas de ley en el Parlamento. El Ministerio de Hacienda es quien cuenta con los elementos necesarios para poder efectuar estimativos de los costos fiscales, para establecer de dónde pueden surgir los recursos necesarios para asumir los costos de un proyecto y para determinar la compatibilidad de los proyectos con el Marco Fiscal de Mediano Plazo. A él tendrían que acudir los congresistas o las bancadas que quieren presentar un proyecto de ley que implique gastos. De esta manera, el Ministerio decidiría qué peticiones atiende y el orden de prioridad para hacerlo. Con ello adquiriría el poder de determinar la agenda legislativa, en desmedro de la autonomía del Congreso</w:t>
      </w:r>
      <w:r w:rsidRPr="00EC201D">
        <w:rPr>
          <w:rFonts w:ascii="Book Antiqua" w:hAnsi="Book Antiqua"/>
          <w:i/>
          <w:iCs/>
          <w:color w:val="2D2D2D"/>
        </w:rPr>
        <w:t>”</w:t>
      </w:r>
      <w:r w:rsidRPr="00EC201D">
        <w:rPr>
          <w:rStyle w:val="Refdenotaalpie"/>
          <w:rFonts w:ascii="Book Antiqua" w:hAnsi="Book Antiqua"/>
          <w:i/>
          <w:iCs/>
          <w:color w:val="2D2D2D"/>
        </w:rPr>
        <w:footnoteReference w:id="45"/>
      </w:r>
      <w:r w:rsidRPr="00EC201D">
        <w:rPr>
          <w:rFonts w:ascii="Book Antiqua" w:hAnsi="Book Antiqua"/>
          <w:i/>
          <w:iCs/>
          <w:color w:val="2D2D2D"/>
        </w:rPr>
        <w:t>.</w:t>
      </w:r>
    </w:p>
    <w:p w14:paraId="39ABEE6A" w14:textId="49789FA9" w:rsidR="00EC201D" w:rsidRPr="00EC201D" w:rsidRDefault="00EC201D" w:rsidP="00EC201D">
      <w:pPr>
        <w:jc w:val="both"/>
        <w:rPr>
          <w:rFonts w:ascii="Book Antiqua" w:hAnsi="Book Antiqua" w:cs="Arial"/>
          <w:lang w:val="es-ES"/>
        </w:rPr>
      </w:pPr>
      <w:r w:rsidRPr="00EC201D">
        <w:rPr>
          <w:rFonts w:ascii="Book Antiqua" w:hAnsi="Book Antiqua" w:cs="Arial"/>
          <w:lang w:val="es-ES"/>
        </w:rPr>
        <w:t xml:space="preserve">La Corte Constitucional ha establecido las subreglas respecto al análisis del impacto fiscal de las iniciativas legislativas, de la siguiente forma: </w:t>
      </w:r>
    </w:p>
    <w:p w14:paraId="7F744587" w14:textId="3391E465" w:rsidR="00EC201D" w:rsidRPr="00D552A5" w:rsidRDefault="00EC201D" w:rsidP="00D552A5">
      <w:pPr>
        <w:shd w:val="clear" w:color="auto" w:fill="FFFFFF"/>
        <w:ind w:left="560"/>
        <w:jc w:val="both"/>
        <w:rPr>
          <w:rFonts w:ascii="Book Antiqua" w:hAnsi="Book Antiqua" w:cs="Arial"/>
          <w:color w:val="2D2D2D"/>
        </w:rPr>
      </w:pPr>
      <w:r w:rsidRPr="00EC201D">
        <w:rPr>
          <w:rFonts w:ascii="Book Antiqua" w:hAnsi="Book Antiqua" w:cs="Arial"/>
          <w:lang w:val="es-ES"/>
        </w:rPr>
        <w:t>“</w:t>
      </w:r>
      <w:r w:rsidRPr="00EC201D">
        <w:rPr>
          <w:rFonts w:ascii="Book Antiqua" w:hAnsi="Book Antiqua" w:cs="Arial"/>
          <w:b/>
          <w:bCs/>
          <w:color w:val="2D2D2D"/>
        </w:rPr>
        <w:t> </w:t>
      </w:r>
      <w:r w:rsidRPr="00EC201D">
        <w:rPr>
          <w:rFonts w:ascii="Book Antiqua" w:hAnsi="Book Antiqua" w:cs="Arial"/>
          <w:color w:val="2D2D2D"/>
        </w:rPr>
        <w:t>En hilo de lo expuesto, es posible deducir las siguientes subreglas sobre el alcance del artículo 7º de la Ley 819 de 2003: (i) las obligaciones previstas en el artículo 7º de la Ley 819 de 2003 constituyen un parámetro de racionalidad legislativa, que cumple fines constitucionalmente relevantes como el orden de las finanzas públicas y la estabilidad macroeconómica; (</w:t>
      </w:r>
      <w:proofErr w:type="spellStart"/>
      <w:r w:rsidRPr="00EC201D">
        <w:rPr>
          <w:rFonts w:ascii="Book Antiqua" w:hAnsi="Book Antiqua" w:cs="Arial"/>
          <w:color w:val="2D2D2D"/>
        </w:rPr>
        <w:t>ii</w:t>
      </w:r>
      <w:proofErr w:type="spellEnd"/>
      <w:r w:rsidRPr="00EC201D">
        <w:rPr>
          <w:rFonts w:ascii="Book Antiqua" w:hAnsi="Book Antiqua" w:cs="Arial"/>
          <w:color w:val="2D2D2D"/>
        </w:rPr>
        <w:t xml:space="preserve">) el cumplimiento de lo dispuesto en el artículo 7º de la Ley 819 de 2003 corresponde al Congreso, pero principalmente al Ministro de Hacienda y Crédito Público, en tanto que “es el que cuenta con los datos, los equipos de funcionarios y la experticia en materia económica. </w:t>
      </w:r>
      <w:r w:rsidRPr="00EC201D">
        <w:rPr>
          <w:rFonts w:ascii="Book Antiqua" w:hAnsi="Book Antiqua" w:cs="Arial"/>
          <w:b/>
          <w:bCs/>
          <w:i/>
          <w:iCs/>
          <w:color w:val="2D2D2D"/>
        </w:rPr>
        <w:t xml:space="preserve">Por lo tanto, en el caso de que </w:t>
      </w:r>
      <w:r w:rsidRPr="00EC201D">
        <w:rPr>
          <w:rFonts w:ascii="Book Antiqua" w:hAnsi="Book Antiqua" w:cs="Arial"/>
          <w:b/>
          <w:bCs/>
          <w:i/>
          <w:iCs/>
          <w:color w:val="2D2D2D"/>
        </w:rPr>
        <w:lastRenderedPageBreak/>
        <w:t>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w:t>
      </w:r>
      <w:r w:rsidRPr="00EC201D">
        <w:rPr>
          <w:rFonts w:ascii="Book Antiqua" w:hAnsi="Book Antiqua" w:cs="Arial"/>
          <w:color w:val="2D2D2D"/>
        </w:rPr>
        <w:t>”; (</w:t>
      </w:r>
      <w:proofErr w:type="spellStart"/>
      <w:r w:rsidRPr="00EC201D">
        <w:rPr>
          <w:rFonts w:ascii="Book Antiqua" w:hAnsi="Book Antiqua" w:cs="Arial"/>
          <w:color w:val="2D2D2D"/>
        </w:rPr>
        <w:t>iii</w:t>
      </w:r>
      <w:proofErr w:type="spellEnd"/>
      <w:r w:rsidRPr="00EC201D">
        <w:rPr>
          <w:rFonts w:ascii="Book Antiqua" w:hAnsi="Book Antiqua" w:cs="Arial"/>
          <w:color w:val="2D2D2D"/>
        </w:rPr>
        <w:t xml:space="preserve">) </w:t>
      </w:r>
      <w:r w:rsidRPr="00EC201D">
        <w:rPr>
          <w:rFonts w:ascii="Book Antiqua" w:hAnsi="Book Antiqua" w:cs="Arial"/>
          <w:b/>
          <w:bCs/>
          <w:color w:val="2D2D2D"/>
          <w:u w:val="single"/>
        </w:rPr>
        <w:t>en caso de que el Ministro de Hacienda y Crédito Público no intervenga en el proceso legislativo u omita conceptuar sobre la viabilidad económica del proyecto no lo vicia de inconstitucionalidad</w:t>
      </w:r>
      <w:r w:rsidRPr="00EC201D">
        <w:rPr>
          <w:rFonts w:ascii="Book Antiqua" w:hAnsi="Book Antiqua" w:cs="Arial"/>
          <w:color w:val="2D2D2D"/>
        </w:rPr>
        <w:t xml:space="preserve">, puesto que </w:t>
      </w:r>
      <w:r w:rsidRPr="00EC201D">
        <w:rPr>
          <w:rFonts w:ascii="Book Antiqua" w:hAnsi="Book Antiqua" w:cs="Arial"/>
          <w:b/>
          <w:bCs/>
          <w:color w:val="2D2D2D"/>
          <w:u w:val="single"/>
        </w:rPr>
        <w:t>este requisito no puede entenderse como un poder de veto sobre la actuación del Congreso o una barrera para que el Legislador ejerza su función legislativa, lo cual “se muestra incompatible con el balance entre los poderes públicos y el principio democrático</w:t>
      </w:r>
      <w:r w:rsidRPr="00EC201D">
        <w:rPr>
          <w:rFonts w:ascii="Book Antiqua" w:hAnsi="Book Antiqua" w:cs="Arial"/>
          <w:color w:val="2D2D2D"/>
        </w:rPr>
        <w:t>”; y (</w:t>
      </w:r>
      <w:proofErr w:type="spellStart"/>
      <w:r w:rsidRPr="00EC201D">
        <w:rPr>
          <w:rFonts w:ascii="Book Antiqua" w:hAnsi="Book Antiqua" w:cs="Arial"/>
          <w:color w:val="2D2D2D"/>
        </w:rPr>
        <w:t>iv</w:t>
      </w:r>
      <w:proofErr w:type="spellEnd"/>
      <w:r w:rsidRPr="00EC201D">
        <w:rPr>
          <w:rFonts w:ascii="Book Antiqua" w:hAnsi="Book Antiqua" w:cs="Arial"/>
          <w:color w:val="2D2D2D"/>
        </w:rPr>
        <w:t>) el informe presentado por el Ministro de Hacienda y Crédito Público no obliga a las células legislativas a acoger su posición, sin embargo, sí genera una obligación en cabeza del Congreso de valorarlo y analizarlo. Sólo así se garantiza una debida colaboración entre las ramas del poder público y se armoniza el principio democrático con la estabilidad macroeconómica</w:t>
      </w:r>
      <w:r w:rsidRPr="00EC201D">
        <w:rPr>
          <w:rFonts w:ascii="Book Antiqua" w:hAnsi="Book Antiqua" w:cs="Arial"/>
          <w:i/>
          <w:iCs/>
          <w:color w:val="2D2D2D"/>
        </w:rPr>
        <w:t>” (Subrayado y negrilla fuera del texto original)</w:t>
      </w:r>
      <w:r w:rsidRPr="00EC201D">
        <w:rPr>
          <w:rStyle w:val="Refdenotaalpie"/>
          <w:rFonts w:ascii="Book Antiqua" w:hAnsi="Book Antiqua" w:cs="Arial"/>
          <w:i/>
          <w:iCs/>
          <w:color w:val="2D2D2D"/>
        </w:rPr>
        <w:footnoteReference w:id="46"/>
      </w:r>
      <w:r w:rsidRPr="00EC201D">
        <w:rPr>
          <w:rFonts w:ascii="Book Antiqua" w:hAnsi="Book Antiqua" w:cs="Arial"/>
          <w:i/>
          <w:iCs/>
          <w:color w:val="2D2D2D"/>
        </w:rPr>
        <w:t>.</w:t>
      </w:r>
    </w:p>
    <w:p w14:paraId="4A5970DF" w14:textId="7EF3D3E6" w:rsidR="00EC201D" w:rsidRPr="00EC201D" w:rsidRDefault="00EC201D" w:rsidP="00EC201D">
      <w:pPr>
        <w:jc w:val="both"/>
        <w:rPr>
          <w:rFonts w:ascii="Book Antiqua" w:hAnsi="Book Antiqua" w:cs="Arial"/>
          <w:lang w:val="es-ES"/>
        </w:rPr>
      </w:pPr>
      <w:r w:rsidRPr="00EC201D">
        <w:rPr>
          <w:rFonts w:ascii="Book Antiqua" w:hAnsi="Book Antiqua" w:cs="Arial"/>
          <w:lang w:val="es-ES"/>
        </w:rPr>
        <w:t xml:space="preserve">En el trámite legislativo el Ministerio de Hacienda y Crédito Público podrá de manera deliberada establecer la necesidad del estudio del impacto fiscal o no de las normas en trámite, sin embargo, si no hubiese pronunciamiento, ello no es óbice para una eventual declaratoria de inconstitucionalidad. </w:t>
      </w:r>
    </w:p>
    <w:p w14:paraId="502B4A4F" w14:textId="6B151D42" w:rsidR="00EC201D" w:rsidRPr="00EC201D" w:rsidRDefault="00EC201D" w:rsidP="00EC201D">
      <w:pPr>
        <w:jc w:val="both"/>
        <w:rPr>
          <w:rFonts w:ascii="Book Antiqua" w:hAnsi="Book Antiqua" w:cs="Arial"/>
          <w:lang w:val="es-ES"/>
        </w:rPr>
      </w:pPr>
      <w:r w:rsidRPr="00EC201D">
        <w:rPr>
          <w:rFonts w:ascii="Book Antiqua" w:hAnsi="Book Antiqua" w:cs="Arial"/>
          <w:lang w:val="es-ES"/>
        </w:rPr>
        <w:t>La Corte Constitucional ha reiterado que la carga principal del estudio del impacto fiscal de la norma se encuentra en cabeza del Ministerio de Hacienda y Crédito Público, por tener los conocimientos técnicos y condición principal de ejecutor del gasto público:</w:t>
      </w:r>
    </w:p>
    <w:p w14:paraId="263D80BD" w14:textId="0BD76B19" w:rsidR="00EC201D" w:rsidRPr="00D552A5" w:rsidRDefault="00EC201D" w:rsidP="00D552A5">
      <w:pPr>
        <w:ind w:left="708"/>
        <w:jc w:val="both"/>
        <w:rPr>
          <w:rFonts w:ascii="Book Antiqua" w:hAnsi="Book Antiqua" w:cs="Arial"/>
        </w:rPr>
      </w:pPr>
      <w:r w:rsidRPr="00EC201D">
        <w:rPr>
          <w:rFonts w:ascii="Book Antiqua" w:hAnsi="Book Antiqua" w:cs="Arial"/>
          <w:lang w:val="es-ES"/>
        </w:rPr>
        <w:t>“</w:t>
      </w:r>
      <w:r w:rsidRPr="00EC201D">
        <w:rPr>
          <w:rFonts w:ascii="Book Antiqua" w:hAnsi="Book Antiqua" w:cs="Arial"/>
        </w:rPr>
        <w:t>80.3. Con el propósito de unificar la interpretación en esta materia, la Corte estima necesario precisar (i) que el Congreso tiene la responsabilidad -como lo dejó dicho la sentencia C-502 de 2007 y con fundamento en el artículo 7 de la ley 819 de 2003- de valorar las incidencias fiscales del proyecto de ley. Tal carga (</w:t>
      </w:r>
      <w:proofErr w:type="spellStart"/>
      <w:r w:rsidRPr="00EC201D">
        <w:rPr>
          <w:rFonts w:ascii="Book Antiqua" w:hAnsi="Book Antiqua" w:cs="Arial"/>
        </w:rPr>
        <w:t>ii</w:t>
      </w:r>
      <w:proofErr w:type="spellEnd"/>
      <w:r w:rsidRPr="00EC201D">
        <w:rPr>
          <w:rFonts w:ascii="Book Antiqua" w:hAnsi="Book Antiqua" w:cs="Arial"/>
        </w:rPr>
        <w:t>) no exige un análisis detallado o exhaustivo del costo fiscal y las fuentes de financiamiento. Sin embargo, (</w:t>
      </w:r>
      <w:proofErr w:type="spellStart"/>
      <w:r w:rsidRPr="00EC201D">
        <w:rPr>
          <w:rFonts w:ascii="Book Antiqua" w:hAnsi="Book Antiqua" w:cs="Arial"/>
        </w:rPr>
        <w:t>iii</w:t>
      </w:r>
      <w:proofErr w:type="spellEnd"/>
      <w:r w:rsidRPr="00EC201D">
        <w:rPr>
          <w:rFonts w:ascii="Book Antiqua" w:hAnsi="Book Antiqua" w:cs="Arial"/>
        </w:rPr>
        <w:t xml:space="preserve">) sí demanda una mínima consideración al respecto, de modo que sea posible establecer los referentes básicos para analizar los efectos fiscales del proyecto de ley. En todo caso </w:t>
      </w:r>
      <w:r w:rsidRPr="00EC201D">
        <w:rPr>
          <w:rFonts w:ascii="Book Antiqua" w:hAnsi="Book Antiqua" w:cs="Arial"/>
          <w:b/>
          <w:bCs/>
          <w:u w:val="single"/>
        </w:rPr>
        <w:t>(</w:t>
      </w:r>
      <w:proofErr w:type="spellStart"/>
      <w:r w:rsidRPr="00EC201D">
        <w:rPr>
          <w:rFonts w:ascii="Book Antiqua" w:hAnsi="Book Antiqua" w:cs="Arial"/>
          <w:b/>
          <w:bCs/>
          <w:u w:val="single"/>
        </w:rPr>
        <w:t>iv</w:t>
      </w:r>
      <w:proofErr w:type="spellEnd"/>
      <w:r w:rsidRPr="00EC201D">
        <w:rPr>
          <w:rFonts w:ascii="Book Antiqua" w:hAnsi="Book Antiqua" w:cs="Arial"/>
          <w:b/>
          <w:bCs/>
          <w:u w:val="single"/>
        </w:rPr>
        <w:t>) la carga principal se encuentra radicada en el MHCP por sus conocimientos técnicos y por su condición de principal ejecutor del gasto público</w:t>
      </w:r>
      <w:r w:rsidRPr="00EC201D">
        <w:rPr>
          <w:rFonts w:ascii="Book Antiqua" w:hAnsi="Book Antiqua" w:cs="Arial"/>
        </w:rPr>
        <w:t xml:space="preserve">. En consecuencia, (v) el incumplimiento del Gobierno no afecta la decisión del Congreso cuando este ha cumplido su deber. A su vez (vi) si el Gobierno atiende su </w:t>
      </w:r>
      <w:r w:rsidRPr="00EC201D">
        <w:rPr>
          <w:rFonts w:ascii="Book Antiqua" w:hAnsi="Book Antiqua" w:cs="Arial"/>
        </w:rPr>
        <w:lastRenderedPageBreak/>
        <w:t>obligación de emitir su concepto, se radica en el Congreso el deber de </w:t>
      </w:r>
      <w:r w:rsidRPr="00EC201D">
        <w:rPr>
          <w:rFonts w:ascii="Book Antiqua" w:hAnsi="Book Antiqua" w:cs="Arial"/>
          <w:i/>
          <w:iCs/>
        </w:rPr>
        <w:t>estudiarlo y discutirlo </w:t>
      </w:r>
      <w:r w:rsidRPr="00EC201D">
        <w:rPr>
          <w:rFonts w:ascii="Book Antiqua" w:hAnsi="Book Antiqua" w:cs="Arial"/>
        </w:rPr>
        <w:t>–</w:t>
      </w:r>
      <w:r w:rsidRPr="00EC201D">
        <w:rPr>
          <w:rFonts w:ascii="Book Antiqua" w:hAnsi="Book Antiqua" w:cs="Arial"/>
          <w:i/>
          <w:iCs/>
        </w:rPr>
        <w:t>ver núm. 79.3 y 90</w:t>
      </w:r>
      <w:r w:rsidRPr="00EC201D">
        <w:rPr>
          <w:rFonts w:ascii="Book Antiqua" w:hAnsi="Book Antiqua" w:cs="Arial"/>
        </w:rPr>
        <w:t>-.”</w:t>
      </w:r>
      <w:r w:rsidRPr="00EC201D">
        <w:rPr>
          <w:rStyle w:val="Refdenotaalpie"/>
          <w:rFonts w:ascii="Book Antiqua" w:hAnsi="Book Antiqua" w:cs="Arial"/>
        </w:rPr>
        <w:footnoteReference w:id="47"/>
      </w:r>
    </w:p>
    <w:p w14:paraId="02864643" w14:textId="62345FCB" w:rsidR="00EC201D" w:rsidRPr="00EC201D" w:rsidRDefault="00EC201D" w:rsidP="00EC201D">
      <w:pPr>
        <w:jc w:val="both"/>
        <w:rPr>
          <w:rFonts w:ascii="Book Antiqua" w:hAnsi="Book Antiqua" w:cs="Arial"/>
          <w:lang w:val="es-ES"/>
        </w:rPr>
      </w:pPr>
      <w:r w:rsidRPr="00EC201D">
        <w:rPr>
          <w:rFonts w:ascii="Book Antiqua" w:hAnsi="Book Antiqua" w:cs="Arial"/>
          <w:lang w:val="es-ES"/>
        </w:rPr>
        <w:t xml:space="preserve">Lo expuesto, ha sido confirmado la Corte Constitucional en jurisprudencia reciente, señalando que el análisis de impacto fiscal en trámite legislativo ha flexibilizado las obligaciones del artículo 7 de la Ley 819 de 2003, con el fin de no constituir una barrera formar que limite desproporcionalmente la actividad del legislador, tal como lo consideró a continuación: </w:t>
      </w:r>
    </w:p>
    <w:p w14:paraId="2BB42A4A" w14:textId="0E4BD40D" w:rsidR="00EC201D" w:rsidRPr="00EC201D" w:rsidRDefault="00EC201D" w:rsidP="00D552A5">
      <w:pPr>
        <w:ind w:left="708"/>
        <w:jc w:val="both"/>
        <w:rPr>
          <w:rFonts w:ascii="Book Antiqua" w:hAnsi="Book Antiqua" w:cs="Arial"/>
        </w:rPr>
      </w:pPr>
      <w:r w:rsidRPr="00EC201D">
        <w:rPr>
          <w:rFonts w:ascii="Book Antiqua" w:hAnsi="Book Antiqua" w:cs="Arial"/>
          <w:lang w:val="es-ES"/>
        </w:rPr>
        <w:t>“La jurisprudencia de esta Corporación ha flexibilizado las obligaciones que surgen de lo dispuesto en el artículo 7° de la Ley 819 de 2003, de forma que no se transforme en una barrera formal que contraríe o límite de desproporcionadamente la actividad del legislador, dicha flexibilización no puede interpretarse como una autorización para que el legislador o el Gobierno puedan eximirse de cumplir con lo dispuesto en la Ley Orgánica del Presupuesto</w:t>
      </w:r>
      <w:r w:rsidRPr="00EC201D">
        <w:rPr>
          <w:rFonts w:ascii="Book Antiqua" w:hAnsi="Book Antiqua" w:cs="Arial"/>
        </w:rPr>
        <w:t>”</w:t>
      </w:r>
      <w:r w:rsidRPr="00EC201D">
        <w:rPr>
          <w:rStyle w:val="Refdenotaalpie"/>
          <w:rFonts w:ascii="Book Antiqua" w:hAnsi="Book Antiqua" w:cs="Arial"/>
        </w:rPr>
        <w:footnoteReference w:id="48"/>
      </w:r>
    </w:p>
    <w:p w14:paraId="26769CF9" w14:textId="0E12C061" w:rsidR="00EC201D" w:rsidRPr="00EC201D" w:rsidRDefault="00EC201D" w:rsidP="00EC201D">
      <w:pPr>
        <w:jc w:val="both"/>
        <w:rPr>
          <w:rFonts w:ascii="Book Antiqua" w:hAnsi="Book Antiqua" w:cs="Arial"/>
        </w:rPr>
      </w:pPr>
      <w:r w:rsidRPr="00EC201D">
        <w:rPr>
          <w:rFonts w:ascii="Book Antiqua" w:hAnsi="Book Antiqua" w:cs="Arial"/>
        </w:rPr>
        <w:t xml:space="preserve">Finalmente, las subreglas constitucionales fijadas en la última jurisprudencia de la Corte Constitucional en el año 2019 son las siguientes: </w:t>
      </w:r>
    </w:p>
    <w:p w14:paraId="2F70BB06" w14:textId="77777777" w:rsidR="00EC201D" w:rsidRPr="00EC201D" w:rsidRDefault="00EC201D" w:rsidP="00EC201D">
      <w:pPr>
        <w:shd w:val="clear" w:color="auto" w:fill="FFFFFF"/>
        <w:ind w:left="708"/>
        <w:jc w:val="both"/>
        <w:rPr>
          <w:rFonts w:ascii="Book Antiqua" w:hAnsi="Book Antiqua" w:cs="Arial"/>
          <w:color w:val="000000" w:themeColor="text1"/>
        </w:rPr>
      </w:pPr>
      <w:r w:rsidRPr="00EC201D">
        <w:rPr>
          <w:rFonts w:ascii="Book Antiqua" w:hAnsi="Book Antiqua" w:cs="Arial"/>
        </w:rPr>
        <w:t>“</w:t>
      </w:r>
      <w:bookmarkStart w:id="1" w:name="_Hlk13645641"/>
      <w:r w:rsidRPr="00EC201D">
        <w:rPr>
          <w:rFonts w:ascii="Book Antiqua" w:hAnsi="Book Antiqua" w:cs="Arial"/>
          <w:b/>
          <w:bCs/>
          <w:color w:val="000000" w:themeColor="text1"/>
          <w:u w:val="single"/>
        </w:rPr>
        <w:t>(i.)             </w:t>
      </w:r>
      <w:r w:rsidRPr="00EC201D">
        <w:rPr>
          <w:rFonts w:ascii="Book Antiqua" w:hAnsi="Book Antiqua" w:cs="Arial"/>
          <w:color w:val="000000" w:themeColor="text1"/>
        </w:rPr>
        <w:t>Verificar si la norma examinada ordena un gasto o establece un beneficio tributario,</w:t>
      </w:r>
      <w:r w:rsidRPr="00EC201D">
        <w:rPr>
          <w:rFonts w:ascii="Book Antiqua" w:hAnsi="Book Antiqua" w:cs="Arial"/>
          <w:b/>
          <w:bCs/>
          <w:color w:val="000000" w:themeColor="text1"/>
          <w:u w:val="single"/>
        </w:rPr>
        <w:t xml:space="preserve"> o si simplemente autoriza al Gobierno nacional a incluir un gasto, pues en este último caso no se hace exigible lo dispuesto en la Ley Orgánica de Presupuesto;</w:t>
      </w:r>
      <w:bookmarkEnd w:id="1"/>
    </w:p>
    <w:p w14:paraId="12C3A25C" w14:textId="77777777" w:rsidR="00EC201D" w:rsidRPr="00EC201D" w:rsidRDefault="00EC201D" w:rsidP="00EC201D">
      <w:pPr>
        <w:pStyle w:val="Prrafodelista"/>
        <w:shd w:val="clear" w:color="auto" w:fill="FFFFFF"/>
        <w:jc w:val="both"/>
        <w:rPr>
          <w:rFonts w:ascii="Book Antiqua" w:hAnsi="Book Antiqua" w:cs="Arial"/>
          <w:b/>
          <w:bCs/>
          <w:color w:val="000000" w:themeColor="text1"/>
          <w:u w:val="single"/>
        </w:rPr>
      </w:pPr>
      <w:r w:rsidRPr="00EC201D">
        <w:rPr>
          <w:rFonts w:ascii="Book Antiqua" w:hAnsi="Book Antiqua" w:cs="Arial"/>
          <w:b/>
          <w:bCs/>
          <w:color w:val="000000" w:themeColor="text1"/>
          <w:u w:val="single"/>
        </w:rPr>
        <w:t> </w:t>
      </w:r>
    </w:p>
    <w:p w14:paraId="76385A57" w14:textId="77777777" w:rsidR="00EC201D" w:rsidRPr="00EC201D" w:rsidRDefault="00EC201D" w:rsidP="00EC201D">
      <w:pPr>
        <w:pStyle w:val="Prrafodelista"/>
        <w:shd w:val="clear" w:color="auto" w:fill="FFFFFF"/>
        <w:jc w:val="both"/>
        <w:rPr>
          <w:rFonts w:ascii="Book Antiqua" w:hAnsi="Book Antiqua" w:cs="Arial"/>
          <w:color w:val="000000" w:themeColor="text1"/>
        </w:rPr>
      </w:pPr>
      <w:r w:rsidRPr="00EC201D">
        <w:rPr>
          <w:rFonts w:ascii="Book Antiqua" w:hAnsi="Book Antiqua" w:cs="Arial"/>
          <w:color w:val="000000" w:themeColor="text1"/>
        </w:rPr>
        <w:t>(</w:t>
      </w:r>
      <w:proofErr w:type="spellStart"/>
      <w:r w:rsidRPr="00EC201D">
        <w:rPr>
          <w:rFonts w:ascii="Book Antiqua" w:hAnsi="Book Antiqua" w:cs="Arial"/>
          <w:color w:val="000000" w:themeColor="text1"/>
        </w:rPr>
        <w:t>ii</w:t>
      </w:r>
      <w:proofErr w:type="spellEnd"/>
      <w:r w:rsidRPr="00EC201D">
        <w:rPr>
          <w:rFonts w:ascii="Book Antiqua" w:hAnsi="Book Antiqua" w:cs="Arial"/>
          <w:color w:val="000000" w:themeColor="text1"/>
        </w:rPr>
        <w:t xml:space="preserve">.)          Comprobar si efectivamente, en las exposiciones de motivos de los proyectos y en las ponencias para debate se incluyeron expresamente informes y análisis sobre los efectos fiscales de las medidas y se previó, al menos someramente, la fuente de ingreso adicional para cubrir los mencionados costos; </w:t>
      </w:r>
    </w:p>
    <w:p w14:paraId="6AEEC146" w14:textId="77777777" w:rsidR="00EC201D" w:rsidRPr="00EC201D" w:rsidRDefault="00EC201D" w:rsidP="00EC201D">
      <w:pPr>
        <w:pStyle w:val="Prrafodelista"/>
        <w:shd w:val="clear" w:color="auto" w:fill="FFFFFF"/>
        <w:jc w:val="both"/>
        <w:rPr>
          <w:rFonts w:ascii="Book Antiqua" w:hAnsi="Book Antiqua" w:cs="Arial"/>
          <w:color w:val="000000" w:themeColor="text1"/>
        </w:rPr>
      </w:pPr>
      <w:r w:rsidRPr="00EC201D">
        <w:rPr>
          <w:rFonts w:ascii="Book Antiqua" w:hAnsi="Book Antiqua" w:cs="Arial"/>
          <w:color w:val="000000" w:themeColor="text1"/>
        </w:rPr>
        <w:t> </w:t>
      </w:r>
    </w:p>
    <w:p w14:paraId="64799C6E" w14:textId="77777777" w:rsidR="00EC201D" w:rsidRPr="00EC201D" w:rsidRDefault="00EC201D" w:rsidP="00EC201D">
      <w:pPr>
        <w:pStyle w:val="Prrafodelista"/>
        <w:shd w:val="clear" w:color="auto" w:fill="FFFFFF"/>
        <w:jc w:val="both"/>
        <w:rPr>
          <w:rFonts w:ascii="Book Antiqua" w:hAnsi="Book Antiqua" w:cs="Arial"/>
          <w:color w:val="000000" w:themeColor="text1"/>
        </w:rPr>
      </w:pPr>
      <w:r w:rsidRPr="00EC201D">
        <w:rPr>
          <w:rFonts w:ascii="Book Antiqua" w:hAnsi="Book Antiqua" w:cs="Arial"/>
          <w:color w:val="000000" w:themeColor="text1"/>
        </w:rPr>
        <w:t>(</w:t>
      </w:r>
      <w:proofErr w:type="spellStart"/>
      <w:r w:rsidRPr="00EC201D">
        <w:rPr>
          <w:rFonts w:ascii="Book Antiqua" w:hAnsi="Book Antiqua" w:cs="Arial"/>
          <w:color w:val="000000" w:themeColor="text1"/>
        </w:rPr>
        <w:t>iii</w:t>
      </w:r>
      <w:proofErr w:type="spellEnd"/>
      <w:r w:rsidRPr="00EC201D">
        <w:rPr>
          <w:rFonts w:ascii="Book Antiqua" w:hAnsi="Book Antiqua" w:cs="Arial"/>
          <w:color w:val="000000" w:themeColor="text1"/>
        </w:rPr>
        <w:t>.)       Establecer si el Ministerio de Hacienda rindió concepto acerca de los costos fiscales que se han estimado para cada una de las iniciativas legislativas bajo el entendido de que la no presentación del concepto no constituye un veto a la actividad del legislador;</w:t>
      </w:r>
    </w:p>
    <w:p w14:paraId="2873077F" w14:textId="77777777" w:rsidR="00EC201D" w:rsidRPr="00EC201D" w:rsidRDefault="00EC201D" w:rsidP="00EC201D">
      <w:pPr>
        <w:shd w:val="clear" w:color="auto" w:fill="FFFFFF"/>
        <w:jc w:val="both"/>
        <w:rPr>
          <w:rFonts w:ascii="Book Antiqua" w:hAnsi="Book Antiqua" w:cs="Arial"/>
          <w:color w:val="000000" w:themeColor="text1"/>
        </w:rPr>
      </w:pPr>
      <w:r w:rsidRPr="00EC201D">
        <w:rPr>
          <w:rFonts w:ascii="Book Antiqua" w:hAnsi="Book Antiqua" w:cs="Arial"/>
          <w:color w:val="000000" w:themeColor="text1"/>
        </w:rPr>
        <w:t> </w:t>
      </w:r>
    </w:p>
    <w:p w14:paraId="5FF35D50" w14:textId="77777777" w:rsidR="00EC201D" w:rsidRPr="00EC201D" w:rsidRDefault="00EC201D" w:rsidP="00EC201D">
      <w:pPr>
        <w:pStyle w:val="Prrafodelista"/>
        <w:shd w:val="clear" w:color="auto" w:fill="FFFFFF"/>
        <w:jc w:val="both"/>
        <w:rPr>
          <w:rFonts w:ascii="Book Antiqua" w:hAnsi="Book Antiqua" w:cs="Arial"/>
          <w:color w:val="000000" w:themeColor="text1"/>
        </w:rPr>
      </w:pPr>
      <w:r w:rsidRPr="00EC201D">
        <w:rPr>
          <w:rFonts w:ascii="Book Antiqua" w:hAnsi="Book Antiqua" w:cs="Arial"/>
          <w:color w:val="000000" w:themeColor="text1"/>
        </w:rPr>
        <w:lastRenderedPageBreak/>
        <w:t>(</w:t>
      </w:r>
      <w:proofErr w:type="spellStart"/>
      <w:r w:rsidRPr="00EC201D">
        <w:rPr>
          <w:rFonts w:ascii="Book Antiqua" w:hAnsi="Book Antiqua" w:cs="Arial"/>
          <w:color w:val="000000" w:themeColor="text1"/>
        </w:rPr>
        <w:t>iv</w:t>
      </w:r>
      <w:proofErr w:type="spellEnd"/>
      <w:r w:rsidRPr="00EC201D">
        <w:rPr>
          <w:rFonts w:ascii="Book Antiqua" w:hAnsi="Book Antiqua" w:cs="Arial"/>
          <w:color w:val="000000" w:themeColor="text1"/>
        </w:rPr>
        <w:t>.)        En caso de que el Ministerio de Hacienda haya rendido concepto, revisar que el mismo haya sido valorado y analizado en el Congreso de la República, aunque no necesariamente acogido.</w:t>
      </w:r>
    </w:p>
    <w:p w14:paraId="164FBF86" w14:textId="77777777" w:rsidR="00EC201D" w:rsidRPr="00EC201D" w:rsidRDefault="00EC201D" w:rsidP="00EC201D">
      <w:pPr>
        <w:pStyle w:val="Prrafodelista"/>
        <w:shd w:val="clear" w:color="auto" w:fill="FFFFFF"/>
        <w:ind w:right="51"/>
        <w:jc w:val="both"/>
        <w:rPr>
          <w:rFonts w:ascii="Book Antiqua" w:hAnsi="Book Antiqua" w:cs="Arial"/>
          <w:color w:val="000000" w:themeColor="text1"/>
        </w:rPr>
      </w:pPr>
      <w:r w:rsidRPr="00EC201D">
        <w:rPr>
          <w:rFonts w:ascii="Book Antiqua" w:hAnsi="Book Antiqua" w:cs="Arial"/>
          <w:color w:val="000000" w:themeColor="text1"/>
        </w:rPr>
        <w:t> </w:t>
      </w:r>
    </w:p>
    <w:p w14:paraId="3BD2321B" w14:textId="35A4C333" w:rsidR="00EC201D" w:rsidRPr="00D552A5" w:rsidRDefault="00EC201D" w:rsidP="00D552A5">
      <w:pPr>
        <w:pStyle w:val="Prrafodelista"/>
        <w:shd w:val="clear" w:color="auto" w:fill="FFFFFF"/>
        <w:jc w:val="both"/>
        <w:rPr>
          <w:rFonts w:ascii="Book Antiqua" w:hAnsi="Book Antiqua" w:cs="Arial"/>
          <w:color w:val="000000" w:themeColor="text1"/>
        </w:rPr>
      </w:pPr>
      <w:r w:rsidRPr="00EC201D">
        <w:rPr>
          <w:rFonts w:ascii="Book Antiqua" w:hAnsi="Book Antiqua" w:cs="Arial"/>
          <w:color w:val="000000" w:themeColor="text1"/>
        </w:rPr>
        <w:t>(v.)           Analizar la proporcionalidad de la exigencia en cuanto a la evaluación del impacto fiscal de las medidas, tomando en consideración el objeto regulado y la naturaleza de la norma, a fin de ponderar la racionalidad fiscal que implica la evaluación de impacto, frente al ámbito de configuración que tiene el legislador según se trate de cada medida en particular”</w:t>
      </w:r>
      <w:r w:rsidRPr="00EC201D">
        <w:rPr>
          <w:rStyle w:val="Refdenotaalpie"/>
          <w:rFonts w:ascii="Book Antiqua" w:hAnsi="Book Antiqua" w:cs="Arial"/>
          <w:color w:val="000000" w:themeColor="text1"/>
        </w:rPr>
        <w:footnoteReference w:id="49"/>
      </w:r>
      <w:r w:rsidRPr="00EC201D">
        <w:rPr>
          <w:rFonts w:ascii="Book Antiqua" w:hAnsi="Book Antiqua" w:cs="Arial"/>
          <w:color w:val="000000" w:themeColor="text1"/>
        </w:rPr>
        <w:t>.</w:t>
      </w:r>
      <w:r w:rsidRPr="00D552A5">
        <w:rPr>
          <w:rFonts w:ascii="Book Antiqua" w:hAnsi="Book Antiqua"/>
          <w:color w:val="2D2D2D"/>
          <w:sz w:val="28"/>
          <w:szCs w:val="28"/>
        </w:rPr>
        <w:t> </w:t>
      </w:r>
    </w:p>
    <w:p w14:paraId="662ED100" w14:textId="0CE158F7" w:rsidR="00EC201D" w:rsidRPr="00D552A5" w:rsidRDefault="00EC201D" w:rsidP="00EC201D">
      <w:pPr>
        <w:jc w:val="both"/>
        <w:rPr>
          <w:rFonts w:ascii="Book Antiqua" w:hAnsi="Book Antiqua" w:cs="Arial"/>
        </w:rPr>
      </w:pPr>
      <w:r w:rsidRPr="00EC201D">
        <w:rPr>
          <w:rFonts w:ascii="Book Antiqua" w:hAnsi="Book Antiqua" w:cs="Arial"/>
        </w:rPr>
        <w:t>Teniendo en cuenta lo precedente, la flexibilización respecto a las exigencias del artículo 7 de la ley 819 de 2003 respecto a normas que ordenan gasto, significa que no se hace necesario adelantar un estudio de análisis de impacto fiscal, sin embargo, el Ministerio de Hacienda y Crédito Público, en cualquier momento, podrá realizar el respectivo análisis, el cual deberá ser estudiado en el órgano legislativo.</w:t>
      </w:r>
    </w:p>
    <w:p w14:paraId="66F9C5C5" w14:textId="34138273" w:rsidR="00543100" w:rsidRDefault="00EC201D" w:rsidP="00EC201D">
      <w:pPr>
        <w:jc w:val="both"/>
        <w:rPr>
          <w:rFonts w:ascii="Book Antiqua" w:hAnsi="Book Antiqua" w:cs="Arial"/>
          <w:lang w:val="es-ES"/>
        </w:rPr>
      </w:pPr>
      <w:r w:rsidRPr="00EC201D">
        <w:rPr>
          <w:rFonts w:ascii="Book Antiqua" w:hAnsi="Book Antiqua" w:cs="Arial"/>
          <w:lang w:val="es-ES"/>
        </w:rPr>
        <w:t xml:space="preserve">Por todo lo expresado, ponemos a consideración del Congreso de la Republica el presente proyecto, esperando contar con su aprobación. </w:t>
      </w:r>
    </w:p>
    <w:p w14:paraId="632A0FC0" w14:textId="77777777" w:rsidR="00543100" w:rsidRPr="00EC201D" w:rsidRDefault="00543100" w:rsidP="00EC201D">
      <w:pPr>
        <w:jc w:val="both"/>
        <w:rPr>
          <w:rFonts w:ascii="Book Antiqua" w:hAnsi="Book Antiqua" w:cs="Arial"/>
          <w:lang w:val="es-ES"/>
        </w:rPr>
      </w:pPr>
    </w:p>
    <w:p w14:paraId="3C1EC29D" w14:textId="3750388A" w:rsidR="00D552A5" w:rsidRPr="00D552A5" w:rsidRDefault="00D552A5" w:rsidP="00D552A5">
      <w:pPr>
        <w:pStyle w:val="Prrafodelista"/>
        <w:numPr>
          <w:ilvl w:val="0"/>
          <w:numId w:val="2"/>
        </w:numPr>
        <w:spacing w:after="0" w:line="240" w:lineRule="auto"/>
        <w:jc w:val="both"/>
        <w:rPr>
          <w:rFonts w:ascii="Book Antiqua" w:hAnsi="Book Antiqua" w:cs="Times New Roman"/>
          <w:b/>
          <w:bCs/>
          <w:sz w:val="24"/>
          <w:szCs w:val="24"/>
        </w:rPr>
      </w:pPr>
      <w:r>
        <w:rPr>
          <w:rFonts w:ascii="Book Antiqua" w:hAnsi="Book Antiqua"/>
          <w:b/>
          <w:bCs/>
          <w:sz w:val="24"/>
          <w:szCs w:val="24"/>
        </w:rPr>
        <w:t xml:space="preserve">PLIEGO DE MODIFICACIONES </w:t>
      </w:r>
    </w:p>
    <w:p w14:paraId="763D9E75" w14:textId="168D0F2A" w:rsidR="00177EEB" w:rsidRDefault="00177EEB" w:rsidP="000F6485">
      <w:pPr>
        <w:shd w:val="clear" w:color="auto" w:fill="FFFFFF"/>
        <w:spacing w:after="0" w:line="276" w:lineRule="auto"/>
        <w:ind w:right="193"/>
        <w:jc w:val="both"/>
        <w:rPr>
          <w:rFonts w:ascii="Book Antiqua" w:hAnsi="Book Antiqua"/>
          <w:b/>
          <w:bCs/>
          <w:sz w:val="24"/>
          <w:szCs w:val="24"/>
        </w:rPr>
      </w:pPr>
    </w:p>
    <w:p w14:paraId="7ABB931A" w14:textId="6CA3E50D" w:rsidR="000F3F03" w:rsidRDefault="000F3F03" w:rsidP="000F6485">
      <w:pPr>
        <w:shd w:val="clear" w:color="auto" w:fill="FFFFFF"/>
        <w:spacing w:after="0" w:line="276" w:lineRule="auto"/>
        <w:ind w:right="193"/>
        <w:jc w:val="both"/>
        <w:rPr>
          <w:rFonts w:ascii="Book Antiqua" w:hAnsi="Book Antiqua"/>
          <w:sz w:val="24"/>
          <w:szCs w:val="24"/>
        </w:rPr>
      </w:pPr>
      <w:r w:rsidRPr="000F3F03">
        <w:rPr>
          <w:rFonts w:ascii="Book Antiqua" w:hAnsi="Book Antiqua"/>
          <w:sz w:val="24"/>
          <w:szCs w:val="24"/>
        </w:rPr>
        <w:t xml:space="preserve">Se proponen las siguientes modificaciones al articulado presentado en el proyecto de ley: </w:t>
      </w:r>
    </w:p>
    <w:tbl>
      <w:tblPr>
        <w:tblStyle w:val="Tablaconcuadrcula"/>
        <w:tblW w:w="0" w:type="auto"/>
        <w:tblLook w:val="04A0" w:firstRow="1" w:lastRow="0" w:firstColumn="1" w:lastColumn="0" w:noHBand="0" w:noVBand="1"/>
      </w:tblPr>
      <w:tblGrid>
        <w:gridCol w:w="4414"/>
        <w:gridCol w:w="4414"/>
      </w:tblGrid>
      <w:tr w:rsidR="000F3F03" w:rsidRPr="00543100" w14:paraId="373BEFAC" w14:textId="77777777" w:rsidTr="000F3F03">
        <w:tc>
          <w:tcPr>
            <w:tcW w:w="4414" w:type="dxa"/>
          </w:tcPr>
          <w:p w14:paraId="3E7F3569" w14:textId="0CDF3A92" w:rsidR="000F3F03" w:rsidRPr="00543100" w:rsidRDefault="000F3F03" w:rsidP="000F3F03">
            <w:pPr>
              <w:spacing w:line="276" w:lineRule="auto"/>
              <w:ind w:right="193"/>
              <w:jc w:val="center"/>
              <w:rPr>
                <w:rFonts w:ascii="Book Antiqua" w:hAnsi="Book Antiqua"/>
                <w:b/>
                <w:bCs/>
              </w:rPr>
            </w:pPr>
            <w:r w:rsidRPr="00543100">
              <w:rPr>
                <w:rFonts w:ascii="Book Antiqua" w:hAnsi="Book Antiqua"/>
                <w:b/>
                <w:bCs/>
              </w:rPr>
              <w:t>Texto radicado por el autor</w:t>
            </w:r>
          </w:p>
        </w:tc>
        <w:tc>
          <w:tcPr>
            <w:tcW w:w="4414" w:type="dxa"/>
          </w:tcPr>
          <w:p w14:paraId="3130C680" w14:textId="6AD6B247" w:rsidR="000F3F03" w:rsidRPr="00543100" w:rsidRDefault="000F3F03" w:rsidP="000F3F03">
            <w:pPr>
              <w:spacing w:line="276" w:lineRule="auto"/>
              <w:ind w:right="193"/>
              <w:jc w:val="center"/>
              <w:rPr>
                <w:rFonts w:ascii="Book Antiqua" w:hAnsi="Book Antiqua"/>
                <w:b/>
                <w:bCs/>
              </w:rPr>
            </w:pPr>
            <w:r w:rsidRPr="00543100">
              <w:rPr>
                <w:rFonts w:ascii="Book Antiqua" w:hAnsi="Book Antiqua"/>
                <w:b/>
                <w:bCs/>
              </w:rPr>
              <w:t>Texto propuesto para primer debate</w:t>
            </w:r>
          </w:p>
        </w:tc>
      </w:tr>
      <w:tr w:rsidR="000F3F03" w:rsidRPr="00543100" w14:paraId="3AFA2141" w14:textId="77777777" w:rsidTr="000F3F03">
        <w:tc>
          <w:tcPr>
            <w:tcW w:w="4414" w:type="dxa"/>
          </w:tcPr>
          <w:p w14:paraId="1589CCBD" w14:textId="29F66FD8" w:rsidR="000F3F03" w:rsidRPr="00543100" w:rsidRDefault="000F3F03" w:rsidP="000F3F03">
            <w:pPr>
              <w:jc w:val="center"/>
              <w:rPr>
                <w:rFonts w:ascii="Book Antiqua" w:hAnsi="Book Antiqua" w:cs="Times New Roman"/>
                <w:b/>
                <w:bCs/>
              </w:rPr>
            </w:pPr>
            <w:r w:rsidRPr="00543100">
              <w:rPr>
                <w:rFonts w:ascii="Book Antiqua" w:hAnsi="Book Antiqua" w:cs="Times New Roman"/>
                <w:b/>
                <w:bCs/>
              </w:rPr>
              <w:t xml:space="preserve">Proyecto de Ley Orgánica N 155  </w:t>
            </w:r>
            <w:r w:rsidR="008F0E19">
              <w:rPr>
                <w:rFonts w:ascii="Book Antiqua" w:hAnsi="Book Antiqua" w:cs="Times New Roman"/>
                <w:b/>
                <w:bCs/>
              </w:rPr>
              <w:t>de 2022</w:t>
            </w:r>
          </w:p>
          <w:p w14:paraId="62802582" w14:textId="77777777" w:rsidR="000F3F03" w:rsidRPr="00543100" w:rsidRDefault="000F3F03" w:rsidP="000F3F03">
            <w:pPr>
              <w:jc w:val="center"/>
              <w:rPr>
                <w:rFonts w:ascii="Book Antiqua" w:hAnsi="Book Antiqua" w:cs="Times New Roman"/>
                <w:b/>
                <w:bCs/>
              </w:rPr>
            </w:pPr>
            <w:r w:rsidRPr="00543100">
              <w:rPr>
                <w:rFonts w:ascii="Book Antiqua" w:hAnsi="Book Antiqua" w:cs="Times New Roman"/>
                <w:b/>
                <w:bCs/>
              </w:rPr>
              <w:t>Cámara de Representantes</w:t>
            </w:r>
          </w:p>
          <w:p w14:paraId="692BC491" w14:textId="77777777" w:rsidR="000F3F03" w:rsidRPr="00543100" w:rsidRDefault="000F3F03" w:rsidP="000F3F03">
            <w:pPr>
              <w:jc w:val="center"/>
              <w:rPr>
                <w:rFonts w:ascii="Book Antiqua" w:hAnsi="Book Antiqua" w:cs="Times New Roman"/>
                <w:b/>
                <w:bCs/>
              </w:rPr>
            </w:pPr>
          </w:p>
          <w:p w14:paraId="4F20CE6F" w14:textId="77777777" w:rsidR="000F3F03" w:rsidRPr="00543100" w:rsidRDefault="000F3F03" w:rsidP="000F3F03">
            <w:pPr>
              <w:jc w:val="center"/>
              <w:rPr>
                <w:rFonts w:ascii="Book Antiqua" w:hAnsi="Book Antiqua" w:cs="Times New Roman"/>
                <w:b/>
                <w:bCs/>
              </w:rPr>
            </w:pPr>
            <w:r w:rsidRPr="00543100">
              <w:rPr>
                <w:rFonts w:ascii="Book Antiqua" w:hAnsi="Book Antiqua" w:cs="Times New Roman"/>
                <w:b/>
                <w:bCs/>
              </w:rPr>
              <w:t>“</w:t>
            </w:r>
            <w:r w:rsidRPr="00543100">
              <w:rPr>
                <w:rFonts w:ascii="Book Antiqua" w:hAnsi="Book Antiqua" w:cs="Times New Roman"/>
                <w:b/>
                <w:bCs/>
                <w:i/>
                <w:iCs/>
              </w:rPr>
              <w:t>Por medio de la cual se designa a las autoridades territoriales para que definan sobre la realización de las prácticas taurinas en su territorio y se dictan otras disposiciones</w:t>
            </w:r>
            <w:r w:rsidRPr="00543100">
              <w:rPr>
                <w:rFonts w:ascii="Book Antiqua" w:hAnsi="Book Antiqua" w:cs="Times New Roman"/>
                <w:b/>
                <w:bCs/>
              </w:rPr>
              <w:t>”</w:t>
            </w:r>
          </w:p>
          <w:p w14:paraId="389C5769" w14:textId="77777777" w:rsidR="000F3F03" w:rsidRPr="00543100" w:rsidRDefault="000F3F03" w:rsidP="000F3F03">
            <w:pPr>
              <w:jc w:val="center"/>
              <w:rPr>
                <w:rFonts w:ascii="Book Antiqua" w:hAnsi="Book Antiqua" w:cs="Times New Roman"/>
                <w:b/>
                <w:bCs/>
              </w:rPr>
            </w:pPr>
          </w:p>
          <w:p w14:paraId="60D21DE0" w14:textId="77777777" w:rsidR="000F3F03" w:rsidRPr="00543100" w:rsidRDefault="000F3F03" w:rsidP="000F3F03">
            <w:pPr>
              <w:jc w:val="center"/>
              <w:rPr>
                <w:rFonts w:ascii="Book Antiqua" w:hAnsi="Book Antiqua" w:cs="Times New Roman"/>
                <w:b/>
                <w:bCs/>
              </w:rPr>
            </w:pPr>
            <w:r w:rsidRPr="00543100">
              <w:rPr>
                <w:rFonts w:ascii="Book Antiqua" w:hAnsi="Book Antiqua" w:cs="Times New Roman"/>
                <w:b/>
                <w:bCs/>
              </w:rPr>
              <w:t xml:space="preserve">El Congreso de Colombia </w:t>
            </w:r>
          </w:p>
          <w:p w14:paraId="77D10632" w14:textId="77777777" w:rsidR="000F3F03" w:rsidRPr="00543100" w:rsidRDefault="000F3F03" w:rsidP="000F3F03">
            <w:pPr>
              <w:jc w:val="center"/>
              <w:rPr>
                <w:rFonts w:ascii="Book Antiqua" w:hAnsi="Book Antiqua" w:cs="Times New Roman"/>
                <w:b/>
                <w:bCs/>
              </w:rPr>
            </w:pPr>
          </w:p>
          <w:p w14:paraId="116664CA" w14:textId="401CA556" w:rsidR="000F3F03" w:rsidRPr="00F453D2" w:rsidRDefault="000F3F03" w:rsidP="00F453D2">
            <w:pPr>
              <w:jc w:val="center"/>
              <w:rPr>
                <w:rFonts w:ascii="Book Antiqua" w:hAnsi="Book Antiqua" w:cs="Times New Roman"/>
                <w:b/>
                <w:bCs/>
              </w:rPr>
            </w:pPr>
            <w:r w:rsidRPr="00543100">
              <w:rPr>
                <w:rFonts w:ascii="Book Antiqua" w:hAnsi="Book Antiqua" w:cs="Times New Roman"/>
                <w:b/>
                <w:bCs/>
              </w:rPr>
              <w:t>DECRETA:</w:t>
            </w:r>
          </w:p>
        </w:tc>
        <w:tc>
          <w:tcPr>
            <w:tcW w:w="4414" w:type="dxa"/>
          </w:tcPr>
          <w:p w14:paraId="203561EA" w14:textId="37B8DF37" w:rsidR="000F3F03" w:rsidRPr="00543100" w:rsidRDefault="000F3F03" w:rsidP="000F6485">
            <w:pPr>
              <w:spacing w:line="276" w:lineRule="auto"/>
              <w:ind w:right="193"/>
              <w:jc w:val="both"/>
              <w:rPr>
                <w:rFonts w:ascii="Book Antiqua" w:hAnsi="Book Antiqua"/>
              </w:rPr>
            </w:pPr>
            <w:r w:rsidRPr="00543100">
              <w:rPr>
                <w:rFonts w:ascii="Book Antiqua" w:hAnsi="Book Antiqua"/>
              </w:rPr>
              <w:t xml:space="preserve">Sin modificaciones </w:t>
            </w:r>
          </w:p>
        </w:tc>
      </w:tr>
      <w:tr w:rsidR="000F3F03" w:rsidRPr="00543100" w14:paraId="4DD0F8FF" w14:textId="77777777" w:rsidTr="000F3F03">
        <w:tc>
          <w:tcPr>
            <w:tcW w:w="4414" w:type="dxa"/>
          </w:tcPr>
          <w:p w14:paraId="171FC313" w14:textId="77777777" w:rsidR="000F3F03" w:rsidRPr="00543100" w:rsidRDefault="000F3F03" w:rsidP="000F3F03">
            <w:pPr>
              <w:jc w:val="both"/>
              <w:rPr>
                <w:rFonts w:ascii="Book Antiqua" w:hAnsi="Book Antiqua" w:cs="Times New Roman"/>
              </w:rPr>
            </w:pPr>
            <w:r w:rsidRPr="00543100">
              <w:rPr>
                <w:rFonts w:ascii="Book Antiqua" w:hAnsi="Book Antiqua" w:cs="Times New Roman"/>
                <w:b/>
                <w:bCs/>
              </w:rPr>
              <w:lastRenderedPageBreak/>
              <w:t>Artículo 1°</w:t>
            </w:r>
            <w:r w:rsidRPr="00543100">
              <w:rPr>
                <w:rFonts w:ascii="Book Antiqua" w:hAnsi="Book Antiqua" w:cs="Times New Roman"/>
              </w:rPr>
              <w:t>. Modifíquese el artículo 1° de la ley 916 de 2004, el cual quedará así:</w:t>
            </w:r>
          </w:p>
          <w:p w14:paraId="388B7583" w14:textId="77777777" w:rsidR="000F3F03" w:rsidRPr="00543100" w:rsidRDefault="000F3F03" w:rsidP="000F3F03">
            <w:pPr>
              <w:jc w:val="both"/>
              <w:rPr>
                <w:rFonts w:ascii="Book Antiqua" w:hAnsi="Book Antiqua" w:cs="Times New Roman"/>
              </w:rPr>
            </w:pPr>
          </w:p>
          <w:p w14:paraId="5927F29D" w14:textId="77777777" w:rsidR="000F3F03" w:rsidRPr="00543100" w:rsidRDefault="000F3F03" w:rsidP="000F3F03">
            <w:pPr>
              <w:ind w:left="705"/>
              <w:jc w:val="both"/>
              <w:rPr>
                <w:rFonts w:ascii="Book Antiqua" w:hAnsi="Book Antiqua" w:cs="Times New Roman"/>
              </w:rPr>
            </w:pPr>
            <w:r w:rsidRPr="00543100">
              <w:rPr>
                <w:rFonts w:ascii="Book Antiqua" w:hAnsi="Book Antiqua" w:cs="Times New Roman"/>
              </w:rPr>
              <w:t>“</w:t>
            </w:r>
            <w:r w:rsidRPr="00543100">
              <w:rPr>
                <w:rFonts w:ascii="Book Antiqua" w:hAnsi="Book Antiqua" w:cs="Times New Roman"/>
                <w:i/>
                <w:iCs/>
              </w:rPr>
              <w:t>Artículo 1°. El presente reglamento tiene por objeto la regulación de la preparación, organización y desarrollo de los espectáculos taurinos y de las actividades relacionadas con los mismos, en los municipios donde estas actividades sean expresiones de arraigo cultural, en garantía de los derechos e intereses del público y de cuantos intervienen en aquellos.</w:t>
            </w:r>
            <w:r w:rsidRPr="00543100">
              <w:rPr>
                <w:rFonts w:ascii="Book Antiqua" w:hAnsi="Book Antiqua" w:cs="Times New Roman"/>
              </w:rPr>
              <w:t>”</w:t>
            </w:r>
          </w:p>
          <w:p w14:paraId="28DA8CE3" w14:textId="77777777" w:rsidR="000F3F03" w:rsidRPr="00543100" w:rsidRDefault="000F3F03" w:rsidP="000F6485">
            <w:pPr>
              <w:spacing w:line="276" w:lineRule="auto"/>
              <w:ind w:right="193"/>
              <w:jc w:val="both"/>
              <w:rPr>
                <w:rFonts w:ascii="Book Antiqua" w:hAnsi="Book Antiqua"/>
              </w:rPr>
            </w:pPr>
          </w:p>
        </w:tc>
        <w:tc>
          <w:tcPr>
            <w:tcW w:w="4414" w:type="dxa"/>
          </w:tcPr>
          <w:p w14:paraId="6AFCDBCD" w14:textId="77777777" w:rsidR="00E93764" w:rsidRPr="00543100" w:rsidRDefault="00E93764" w:rsidP="00E93764">
            <w:pPr>
              <w:jc w:val="both"/>
              <w:rPr>
                <w:rFonts w:ascii="Book Antiqua" w:hAnsi="Book Antiqua" w:cs="Times New Roman"/>
              </w:rPr>
            </w:pPr>
            <w:r w:rsidRPr="00543100">
              <w:rPr>
                <w:rFonts w:ascii="Book Antiqua" w:hAnsi="Book Antiqua" w:cs="Times New Roman"/>
                <w:b/>
                <w:bCs/>
              </w:rPr>
              <w:t>Artículo 1°</w:t>
            </w:r>
            <w:r w:rsidRPr="00543100">
              <w:rPr>
                <w:rFonts w:ascii="Book Antiqua" w:hAnsi="Book Antiqua" w:cs="Times New Roman"/>
              </w:rPr>
              <w:t>. Modifíquese el artículo 1° de la ley 916 de 2004, el cual quedará así:</w:t>
            </w:r>
          </w:p>
          <w:p w14:paraId="01893180" w14:textId="77777777" w:rsidR="00E93764" w:rsidRPr="00543100" w:rsidRDefault="00E93764" w:rsidP="00E93764">
            <w:pPr>
              <w:jc w:val="both"/>
              <w:rPr>
                <w:rFonts w:ascii="Book Antiqua" w:hAnsi="Book Antiqua" w:cs="Times New Roman"/>
              </w:rPr>
            </w:pPr>
          </w:p>
          <w:p w14:paraId="073CAFE1" w14:textId="0E6BC41E" w:rsidR="00E93764" w:rsidRPr="00543100" w:rsidRDefault="00E93764" w:rsidP="00E93764">
            <w:pPr>
              <w:ind w:left="705"/>
              <w:jc w:val="both"/>
              <w:rPr>
                <w:rFonts w:ascii="Book Antiqua" w:hAnsi="Book Antiqua" w:cs="Times New Roman"/>
              </w:rPr>
            </w:pPr>
            <w:r w:rsidRPr="00543100">
              <w:rPr>
                <w:rFonts w:ascii="Book Antiqua" w:hAnsi="Book Antiqua" w:cs="Times New Roman"/>
              </w:rPr>
              <w:t>“</w:t>
            </w:r>
            <w:r w:rsidRPr="00543100">
              <w:rPr>
                <w:rFonts w:ascii="Book Antiqua" w:hAnsi="Book Antiqua" w:cs="Times New Roman"/>
                <w:i/>
                <w:iCs/>
              </w:rPr>
              <w:t xml:space="preserve">Artículo 1°. El presente reglamento tiene por objeto la regulación de la preparación, organización y desarrollo de los espectáculos taurinos y de las actividades relacionadas con los mismos, en los municipios donde estas actividades sean expresiones de arraigo cultural, </w:t>
            </w:r>
            <w:r w:rsidR="003B1EA5" w:rsidRPr="00543100">
              <w:rPr>
                <w:rFonts w:ascii="Book Antiqua" w:hAnsi="Book Antiqua" w:cs="Times New Roman"/>
                <w:b/>
                <w:bCs/>
                <w:i/>
                <w:iCs/>
                <w:u w:val="single"/>
              </w:rPr>
              <w:t xml:space="preserve">sin menoscabar </w:t>
            </w:r>
            <w:r w:rsidRPr="00543100">
              <w:rPr>
                <w:rFonts w:ascii="Book Antiqua" w:hAnsi="Book Antiqua" w:cs="Times New Roman"/>
                <w:b/>
                <w:bCs/>
                <w:i/>
                <w:iCs/>
                <w:u w:val="single"/>
              </w:rPr>
              <w:t>la garantía de los derechos e intereses de la comunidad y del bienestar</w:t>
            </w:r>
            <w:r w:rsidR="00315032" w:rsidRPr="00543100">
              <w:rPr>
                <w:rFonts w:ascii="Book Antiqua" w:hAnsi="Book Antiqua" w:cs="Times New Roman"/>
                <w:b/>
                <w:bCs/>
                <w:i/>
                <w:iCs/>
                <w:u w:val="single"/>
              </w:rPr>
              <w:t xml:space="preserve"> y protección</w:t>
            </w:r>
            <w:r w:rsidRPr="00543100">
              <w:rPr>
                <w:rFonts w:ascii="Book Antiqua" w:hAnsi="Book Antiqua" w:cs="Times New Roman"/>
                <w:b/>
                <w:bCs/>
                <w:i/>
                <w:iCs/>
                <w:u w:val="single"/>
              </w:rPr>
              <w:t xml:space="preserve"> animal</w:t>
            </w:r>
            <w:r w:rsidR="003B1EA5" w:rsidRPr="00543100">
              <w:rPr>
                <w:rFonts w:ascii="Book Antiqua" w:hAnsi="Book Antiqua" w:cs="Times New Roman"/>
                <w:b/>
                <w:bCs/>
                <w:i/>
                <w:iCs/>
                <w:u w:val="single"/>
              </w:rPr>
              <w:t>”.</w:t>
            </w:r>
          </w:p>
          <w:p w14:paraId="635BA4DF" w14:textId="51D81DD2" w:rsidR="000F3F03" w:rsidRPr="00543100" w:rsidRDefault="000F3F03" w:rsidP="000F6485">
            <w:pPr>
              <w:spacing w:line="276" w:lineRule="auto"/>
              <w:ind w:right="193"/>
              <w:jc w:val="both"/>
              <w:rPr>
                <w:rFonts w:ascii="Book Antiqua" w:hAnsi="Book Antiqua"/>
              </w:rPr>
            </w:pPr>
          </w:p>
        </w:tc>
      </w:tr>
      <w:tr w:rsidR="000F3F03" w:rsidRPr="00543100" w14:paraId="7F3C2ED7" w14:textId="77777777" w:rsidTr="000F3F03">
        <w:tc>
          <w:tcPr>
            <w:tcW w:w="4414" w:type="dxa"/>
          </w:tcPr>
          <w:p w14:paraId="6AAE43E6" w14:textId="77777777" w:rsidR="000F3F03" w:rsidRPr="00543100" w:rsidRDefault="000F3F03" w:rsidP="000F3F03">
            <w:pPr>
              <w:ind w:left="708" w:hanging="708"/>
              <w:jc w:val="both"/>
              <w:rPr>
                <w:rFonts w:ascii="Book Antiqua" w:hAnsi="Book Antiqua" w:cs="Times New Roman"/>
              </w:rPr>
            </w:pPr>
            <w:bookmarkStart w:id="2" w:name="_Hlk121303154"/>
            <w:r w:rsidRPr="00543100">
              <w:rPr>
                <w:rFonts w:ascii="Book Antiqua" w:hAnsi="Book Antiqua" w:cs="Times New Roman"/>
                <w:b/>
                <w:bCs/>
              </w:rPr>
              <w:t>Artículo 2°</w:t>
            </w:r>
            <w:r w:rsidRPr="00543100">
              <w:rPr>
                <w:rFonts w:ascii="Book Antiqua" w:hAnsi="Book Antiqua" w:cs="Times New Roman"/>
              </w:rPr>
              <w:t>. Modifíquese el artículo 2 de la ley 916 de 2004, el cual quedará</w:t>
            </w:r>
          </w:p>
          <w:p w14:paraId="3A6FC491" w14:textId="77777777" w:rsidR="000F3F03" w:rsidRPr="00543100" w:rsidRDefault="000F3F03" w:rsidP="000F3F03">
            <w:pPr>
              <w:ind w:left="708" w:hanging="708"/>
              <w:jc w:val="both"/>
              <w:rPr>
                <w:rFonts w:ascii="Book Antiqua" w:hAnsi="Book Antiqua" w:cs="Times New Roman"/>
              </w:rPr>
            </w:pPr>
            <w:r w:rsidRPr="00543100">
              <w:rPr>
                <w:rFonts w:ascii="Book Antiqua" w:hAnsi="Book Antiqua" w:cs="Times New Roman"/>
              </w:rPr>
              <w:t>así:</w:t>
            </w:r>
          </w:p>
          <w:p w14:paraId="6CD4CBBC" w14:textId="2902244D" w:rsidR="000F3F03" w:rsidRPr="00543100" w:rsidRDefault="000F3F03" w:rsidP="000F3F03">
            <w:pPr>
              <w:ind w:left="705"/>
              <w:jc w:val="both"/>
              <w:rPr>
                <w:rFonts w:ascii="Book Antiqua" w:hAnsi="Book Antiqua" w:cs="Times New Roman"/>
                <w:i/>
                <w:iCs/>
              </w:rPr>
            </w:pPr>
            <w:r w:rsidRPr="00543100">
              <w:rPr>
                <w:rFonts w:ascii="Book Antiqua" w:hAnsi="Book Antiqua" w:cs="Times New Roman"/>
              </w:rPr>
              <w:t>“</w:t>
            </w:r>
            <w:r w:rsidRPr="00543100">
              <w:rPr>
                <w:rFonts w:ascii="Book Antiqua" w:hAnsi="Book Antiqua" w:cs="Times New Roman"/>
                <w:i/>
                <w:iCs/>
              </w:rPr>
              <w:t>Artículo 2°. Lo previsto en el presente reglamento será de aplicación general en todo el territorio nacional.</w:t>
            </w:r>
            <w:r w:rsidRPr="00543100">
              <w:rPr>
                <w:rFonts w:ascii="Book Antiqua" w:hAnsi="Book Antiqua" w:cs="Times New Roman"/>
              </w:rPr>
              <w:t xml:space="preserve"> </w:t>
            </w:r>
            <w:r w:rsidRPr="00543100">
              <w:rPr>
                <w:rFonts w:ascii="Book Antiqua" w:hAnsi="Book Antiqua" w:cs="Times New Roman"/>
                <w:i/>
                <w:iCs/>
              </w:rPr>
              <w:t xml:space="preserve">Los entes territoriales, por intermedio de los Concejos municipales o distritales, o a través de los mecanismos de participación ciudadana previstos en la Constitución y en la ley, decidirán si </w:t>
            </w:r>
            <w:bookmarkStart w:id="3" w:name="_Hlk109328322"/>
            <w:r w:rsidRPr="00543100">
              <w:rPr>
                <w:rFonts w:ascii="Book Antiqua" w:hAnsi="Book Antiqua" w:cs="Times New Roman"/>
                <w:i/>
                <w:iCs/>
              </w:rPr>
              <w:t>los espectáculos taurinos serán considerados como una manifestación de una tradición regular, periódica e ininterrumpida dentro de su territorio</w:t>
            </w:r>
            <w:bookmarkEnd w:id="3"/>
            <w:r w:rsidRPr="00543100">
              <w:rPr>
                <w:rFonts w:ascii="Book Antiqua" w:hAnsi="Book Antiqua" w:cs="Times New Roman"/>
                <w:i/>
                <w:iCs/>
              </w:rPr>
              <w:t>.</w:t>
            </w:r>
          </w:p>
          <w:p w14:paraId="38AD678D" w14:textId="6F6A6828" w:rsidR="00285938" w:rsidRPr="00543100" w:rsidRDefault="00285938" w:rsidP="00200D55">
            <w:pPr>
              <w:jc w:val="both"/>
              <w:rPr>
                <w:rFonts w:ascii="Book Antiqua" w:hAnsi="Book Antiqua" w:cs="Times New Roman"/>
                <w:i/>
                <w:iCs/>
              </w:rPr>
            </w:pPr>
          </w:p>
          <w:p w14:paraId="602AC1DD" w14:textId="635C1486" w:rsidR="00285938" w:rsidRPr="00543100" w:rsidRDefault="00285938" w:rsidP="000F3F03">
            <w:pPr>
              <w:ind w:left="705"/>
              <w:jc w:val="both"/>
              <w:rPr>
                <w:rFonts w:ascii="Book Antiqua" w:hAnsi="Book Antiqua" w:cs="Times New Roman"/>
                <w:i/>
                <w:iCs/>
              </w:rPr>
            </w:pPr>
          </w:p>
          <w:p w14:paraId="3A98DC11" w14:textId="77777777" w:rsidR="000F3F03" w:rsidRPr="00543100" w:rsidRDefault="000F3F03" w:rsidP="00EC201D">
            <w:pPr>
              <w:jc w:val="both"/>
              <w:rPr>
                <w:rFonts w:ascii="Book Antiqua" w:hAnsi="Book Antiqua" w:cs="Times New Roman"/>
                <w:i/>
                <w:iCs/>
              </w:rPr>
            </w:pPr>
          </w:p>
          <w:p w14:paraId="153F39E4" w14:textId="77777777" w:rsidR="000F3F03" w:rsidRPr="00543100" w:rsidRDefault="000F3F03" w:rsidP="000F3F03">
            <w:pPr>
              <w:ind w:left="705"/>
              <w:jc w:val="both"/>
              <w:rPr>
                <w:rFonts w:ascii="Book Antiqua" w:hAnsi="Book Antiqua" w:cs="Times New Roman"/>
              </w:rPr>
            </w:pPr>
            <w:r w:rsidRPr="00543100">
              <w:rPr>
                <w:rFonts w:ascii="Book Antiqua" w:hAnsi="Book Antiqua" w:cs="Times New Roman"/>
                <w:i/>
                <w:iCs/>
              </w:rPr>
              <w:t>Parágrafo. La adopción de la decisión referida en el presente artículo deberá incluir a todos los actores que intervienen dentro de la realización del espectáculo taurino conforme las reglas de participación previstas para tal efecto.</w:t>
            </w:r>
            <w:r w:rsidRPr="00543100">
              <w:rPr>
                <w:rFonts w:ascii="Book Antiqua" w:hAnsi="Book Antiqua" w:cs="Times New Roman"/>
              </w:rPr>
              <w:t>”</w:t>
            </w:r>
          </w:p>
          <w:p w14:paraId="64ED1D62" w14:textId="77777777" w:rsidR="000F3F03" w:rsidRPr="00543100" w:rsidRDefault="000F3F03" w:rsidP="000F6485">
            <w:pPr>
              <w:spacing w:line="276" w:lineRule="auto"/>
              <w:ind w:right="193"/>
              <w:jc w:val="both"/>
              <w:rPr>
                <w:rFonts w:ascii="Book Antiqua" w:hAnsi="Book Antiqua"/>
              </w:rPr>
            </w:pPr>
          </w:p>
        </w:tc>
        <w:tc>
          <w:tcPr>
            <w:tcW w:w="4414" w:type="dxa"/>
          </w:tcPr>
          <w:p w14:paraId="79F7C192" w14:textId="77777777" w:rsidR="00285938" w:rsidRPr="00543100" w:rsidRDefault="00285938" w:rsidP="00285938">
            <w:pPr>
              <w:ind w:left="708" w:hanging="708"/>
              <w:jc w:val="both"/>
              <w:rPr>
                <w:rFonts w:ascii="Book Antiqua" w:hAnsi="Book Antiqua" w:cs="Times New Roman"/>
              </w:rPr>
            </w:pPr>
            <w:r w:rsidRPr="00543100">
              <w:rPr>
                <w:rFonts w:ascii="Book Antiqua" w:hAnsi="Book Antiqua" w:cs="Times New Roman"/>
                <w:b/>
                <w:bCs/>
              </w:rPr>
              <w:t>Artículo 2°</w:t>
            </w:r>
            <w:r w:rsidRPr="00543100">
              <w:rPr>
                <w:rFonts w:ascii="Book Antiqua" w:hAnsi="Book Antiqua" w:cs="Times New Roman"/>
              </w:rPr>
              <w:t>. Modifíquese el artículo 2 de la ley 916 de 2004, el cual quedará</w:t>
            </w:r>
          </w:p>
          <w:p w14:paraId="30CA03A3" w14:textId="77777777" w:rsidR="00285938" w:rsidRPr="00543100" w:rsidRDefault="00285938" w:rsidP="00285938">
            <w:pPr>
              <w:ind w:left="708" w:hanging="708"/>
              <w:jc w:val="both"/>
              <w:rPr>
                <w:rFonts w:ascii="Book Antiqua" w:hAnsi="Book Antiqua" w:cs="Times New Roman"/>
              </w:rPr>
            </w:pPr>
            <w:r w:rsidRPr="00543100">
              <w:rPr>
                <w:rFonts w:ascii="Book Antiqua" w:hAnsi="Book Antiqua" w:cs="Times New Roman"/>
              </w:rPr>
              <w:t>así:</w:t>
            </w:r>
          </w:p>
          <w:p w14:paraId="50FA58F5" w14:textId="72918A53" w:rsidR="00285938" w:rsidRPr="00543100" w:rsidRDefault="00285938" w:rsidP="00285938">
            <w:pPr>
              <w:ind w:left="705"/>
              <w:jc w:val="both"/>
              <w:rPr>
                <w:rFonts w:ascii="Book Antiqua" w:hAnsi="Book Antiqua" w:cs="Times New Roman"/>
                <w:i/>
                <w:iCs/>
              </w:rPr>
            </w:pPr>
            <w:r w:rsidRPr="00543100">
              <w:rPr>
                <w:rFonts w:ascii="Book Antiqua" w:hAnsi="Book Antiqua" w:cs="Times New Roman"/>
              </w:rPr>
              <w:t>“</w:t>
            </w:r>
            <w:r w:rsidRPr="00543100">
              <w:rPr>
                <w:rFonts w:ascii="Book Antiqua" w:hAnsi="Book Antiqua" w:cs="Times New Roman"/>
                <w:i/>
                <w:iCs/>
              </w:rPr>
              <w:t>Artículo 2°. Lo previsto en el presente reglamento será de aplicación general en todo el territorio nacional.</w:t>
            </w:r>
            <w:r w:rsidRPr="00543100">
              <w:rPr>
                <w:rFonts w:ascii="Book Antiqua" w:hAnsi="Book Antiqua" w:cs="Times New Roman"/>
              </w:rPr>
              <w:t xml:space="preserve"> </w:t>
            </w:r>
            <w:r w:rsidRPr="00543100">
              <w:rPr>
                <w:rFonts w:ascii="Book Antiqua" w:hAnsi="Book Antiqua" w:cs="Times New Roman"/>
                <w:i/>
                <w:iCs/>
              </w:rPr>
              <w:t>Los entes territoriales, por intermedio de los Concejos municipales o distritales, o a través de los mecanismos de participación ciudadana previstos en la Constitución y en la ley, decidirán si los espectáculos taurinos serán considerados como una manifestación de una tradición regular, periódica e ininterrumpida dentro de su territorio.</w:t>
            </w:r>
          </w:p>
          <w:p w14:paraId="54748D1C" w14:textId="165647DC" w:rsidR="00285938" w:rsidRPr="00543100" w:rsidRDefault="00285938" w:rsidP="00285938">
            <w:pPr>
              <w:ind w:left="705"/>
              <w:jc w:val="both"/>
              <w:rPr>
                <w:rFonts w:ascii="Book Antiqua" w:hAnsi="Book Antiqua" w:cs="Times New Roman"/>
                <w:i/>
                <w:iCs/>
              </w:rPr>
            </w:pPr>
          </w:p>
          <w:p w14:paraId="20214180" w14:textId="36DA8CEA" w:rsidR="00285938" w:rsidRPr="00543100" w:rsidRDefault="00285938" w:rsidP="00285938">
            <w:pPr>
              <w:ind w:left="705"/>
              <w:jc w:val="both"/>
              <w:rPr>
                <w:rFonts w:ascii="Book Antiqua" w:hAnsi="Book Antiqua" w:cs="Times New Roman"/>
                <w:i/>
                <w:iCs/>
              </w:rPr>
            </w:pPr>
          </w:p>
          <w:p w14:paraId="2F33998E" w14:textId="77777777" w:rsidR="00285938" w:rsidRPr="00543100" w:rsidRDefault="00285938" w:rsidP="00EC201D">
            <w:pPr>
              <w:jc w:val="both"/>
              <w:rPr>
                <w:rFonts w:ascii="Book Antiqua" w:hAnsi="Book Antiqua" w:cs="Times New Roman"/>
                <w:i/>
                <w:iCs/>
              </w:rPr>
            </w:pPr>
          </w:p>
          <w:p w14:paraId="07E91224" w14:textId="536B1BCC" w:rsidR="00200D55" w:rsidRDefault="00285938" w:rsidP="003B1EA5">
            <w:pPr>
              <w:ind w:left="705"/>
              <w:jc w:val="both"/>
              <w:rPr>
                <w:rFonts w:ascii="Book Antiqua" w:hAnsi="Book Antiqua" w:cs="Times New Roman"/>
                <w:i/>
                <w:iCs/>
              </w:rPr>
            </w:pPr>
            <w:r w:rsidRPr="00200D55">
              <w:rPr>
                <w:rFonts w:ascii="Book Antiqua" w:hAnsi="Book Antiqua" w:cs="Times New Roman"/>
                <w:b/>
                <w:bCs/>
                <w:i/>
                <w:iCs/>
                <w:u w:val="single"/>
              </w:rPr>
              <w:t>Parágrafo</w:t>
            </w:r>
            <w:r w:rsidR="00200D55" w:rsidRPr="00200D55">
              <w:rPr>
                <w:rFonts w:ascii="Book Antiqua" w:hAnsi="Book Antiqua" w:cs="Times New Roman"/>
                <w:b/>
                <w:bCs/>
                <w:i/>
                <w:iCs/>
                <w:u w:val="single"/>
              </w:rPr>
              <w:t xml:space="preserve"> 1</w:t>
            </w:r>
            <w:r w:rsidRPr="00543100">
              <w:rPr>
                <w:rFonts w:ascii="Book Antiqua" w:hAnsi="Book Antiqua" w:cs="Times New Roman"/>
                <w:i/>
                <w:iCs/>
              </w:rPr>
              <w:t xml:space="preserve">. La </w:t>
            </w:r>
            <w:r w:rsidR="00F453D2" w:rsidRPr="00F453D2">
              <w:rPr>
                <w:rFonts w:ascii="Book Antiqua" w:hAnsi="Book Antiqua" w:cs="Times New Roman"/>
                <w:b/>
                <w:bCs/>
                <w:i/>
                <w:iCs/>
                <w:u w:val="single"/>
              </w:rPr>
              <w:t>deliberación y</w:t>
            </w:r>
            <w:r w:rsidR="00F453D2">
              <w:rPr>
                <w:rFonts w:ascii="Book Antiqua" w:hAnsi="Book Antiqua" w:cs="Times New Roman"/>
                <w:i/>
                <w:iCs/>
              </w:rPr>
              <w:t xml:space="preserve"> </w:t>
            </w:r>
            <w:r w:rsidRPr="00543100">
              <w:rPr>
                <w:rFonts w:ascii="Book Antiqua" w:hAnsi="Book Antiqua" w:cs="Times New Roman"/>
                <w:i/>
                <w:iCs/>
              </w:rPr>
              <w:t>adopción de la decisión</w:t>
            </w:r>
            <w:r w:rsidR="003B1EA5" w:rsidRPr="00543100">
              <w:rPr>
                <w:rFonts w:ascii="Book Antiqua" w:hAnsi="Book Antiqua" w:cs="Times New Roman"/>
                <w:i/>
                <w:iCs/>
              </w:rPr>
              <w:t xml:space="preserve"> referida en el presente artículo</w:t>
            </w:r>
            <w:r w:rsidRPr="00543100">
              <w:rPr>
                <w:rFonts w:ascii="Book Antiqua" w:hAnsi="Book Antiqua" w:cs="Times New Roman"/>
                <w:i/>
                <w:iCs/>
              </w:rPr>
              <w:t xml:space="preserve"> deberá incluir a todos los actores que intervienen dentro de la realización del espectáculo taurino conforme las reglas de participación previstas para tal </w:t>
            </w:r>
            <w:r w:rsidR="00200D55">
              <w:rPr>
                <w:rFonts w:ascii="Book Antiqua" w:hAnsi="Book Antiqua" w:cs="Times New Roman"/>
                <w:i/>
                <w:iCs/>
              </w:rPr>
              <w:t>efecto.</w:t>
            </w:r>
          </w:p>
          <w:p w14:paraId="58F237B6" w14:textId="77777777" w:rsidR="00200D55" w:rsidRDefault="00200D55" w:rsidP="003B1EA5">
            <w:pPr>
              <w:ind w:left="705"/>
              <w:jc w:val="both"/>
              <w:rPr>
                <w:rFonts w:ascii="Book Antiqua" w:hAnsi="Book Antiqua" w:cs="Times New Roman"/>
              </w:rPr>
            </w:pPr>
          </w:p>
          <w:p w14:paraId="778D3521" w14:textId="0A6A855A" w:rsidR="000F3F03" w:rsidRPr="00543100" w:rsidRDefault="00200D55" w:rsidP="003B1EA5">
            <w:pPr>
              <w:ind w:left="705"/>
              <w:jc w:val="both"/>
              <w:rPr>
                <w:rFonts w:ascii="Book Antiqua" w:eastAsia="Arial" w:hAnsi="Book Antiqua" w:cs="Arial"/>
                <w:b/>
                <w:bCs/>
                <w:color w:val="000000" w:themeColor="text1"/>
                <w:u w:val="single"/>
              </w:rPr>
            </w:pPr>
            <w:r w:rsidRPr="00200D55">
              <w:rPr>
                <w:rFonts w:ascii="Book Antiqua" w:hAnsi="Book Antiqua" w:cs="Times New Roman"/>
                <w:b/>
                <w:bCs/>
                <w:u w:val="single"/>
              </w:rPr>
              <w:lastRenderedPageBreak/>
              <w:t>Parágrafo 2. La decisión adoptada</w:t>
            </w:r>
            <w:r w:rsidRPr="00200D55">
              <w:rPr>
                <w:rFonts w:ascii="Book Antiqua" w:hAnsi="Book Antiqua" w:cs="Times New Roman"/>
                <w:b/>
                <w:bCs/>
                <w:i/>
                <w:iCs/>
                <w:u w:val="single"/>
              </w:rPr>
              <w:t xml:space="preserve"> </w:t>
            </w:r>
            <w:r w:rsidRPr="00200D55">
              <w:rPr>
                <w:rFonts w:ascii="Book Antiqua" w:eastAsia="Arial" w:hAnsi="Book Antiqua" w:cs="Arial"/>
                <w:b/>
                <w:bCs/>
                <w:color w:val="000000" w:themeColor="text1"/>
                <w:u w:val="single"/>
              </w:rPr>
              <w:t xml:space="preserve">se hará efectiva </w:t>
            </w:r>
            <w:r w:rsidR="00F453D2">
              <w:rPr>
                <w:rFonts w:ascii="Book Antiqua" w:eastAsia="Arial" w:hAnsi="Book Antiqua" w:cs="Arial"/>
                <w:b/>
                <w:bCs/>
                <w:color w:val="000000" w:themeColor="text1"/>
                <w:u w:val="single"/>
              </w:rPr>
              <w:t xml:space="preserve">para su obligatorio cumplimiento </w:t>
            </w:r>
            <w:r w:rsidRPr="00200D55">
              <w:rPr>
                <w:rFonts w:ascii="Book Antiqua" w:eastAsia="Arial" w:hAnsi="Book Antiqua" w:cs="Arial"/>
                <w:b/>
                <w:bCs/>
                <w:color w:val="000000" w:themeColor="text1"/>
                <w:u w:val="single"/>
              </w:rPr>
              <w:t>por el respectivo</w:t>
            </w:r>
            <w:r w:rsidRPr="00543100">
              <w:rPr>
                <w:rFonts w:ascii="Book Antiqua" w:eastAsia="Arial" w:hAnsi="Book Antiqua" w:cs="Arial"/>
                <w:b/>
                <w:bCs/>
                <w:color w:val="000000" w:themeColor="text1"/>
                <w:u w:val="single"/>
              </w:rPr>
              <w:t xml:space="preserve"> alcalde municipal o distrital</w:t>
            </w:r>
            <w:r>
              <w:rPr>
                <w:rFonts w:ascii="Book Antiqua" w:eastAsia="Arial" w:hAnsi="Book Antiqua" w:cs="Arial"/>
                <w:b/>
                <w:bCs/>
                <w:color w:val="000000" w:themeColor="text1"/>
                <w:u w:val="single"/>
              </w:rPr>
              <w:t xml:space="preserve">”. </w:t>
            </w:r>
          </w:p>
        </w:tc>
      </w:tr>
      <w:bookmarkEnd w:id="2"/>
      <w:tr w:rsidR="000F3F03" w:rsidRPr="00543100" w14:paraId="06BAA190" w14:textId="77777777" w:rsidTr="000F3F03">
        <w:tc>
          <w:tcPr>
            <w:tcW w:w="4414" w:type="dxa"/>
          </w:tcPr>
          <w:p w14:paraId="6E3FC67F" w14:textId="77777777" w:rsidR="000F3F03" w:rsidRPr="00543100" w:rsidRDefault="000F3F03" w:rsidP="000F3F03">
            <w:pPr>
              <w:jc w:val="both"/>
              <w:rPr>
                <w:rFonts w:ascii="Book Antiqua" w:hAnsi="Book Antiqua" w:cs="Times New Roman"/>
              </w:rPr>
            </w:pPr>
            <w:r w:rsidRPr="00543100">
              <w:rPr>
                <w:rFonts w:ascii="Book Antiqua" w:hAnsi="Book Antiqua" w:cs="Times New Roman"/>
                <w:b/>
                <w:bCs/>
              </w:rPr>
              <w:lastRenderedPageBreak/>
              <w:t>Artículo 3°</w:t>
            </w:r>
            <w:r w:rsidRPr="00543100">
              <w:rPr>
                <w:rFonts w:ascii="Book Antiqua" w:hAnsi="Book Antiqua" w:cs="Times New Roman"/>
              </w:rPr>
              <w:t>. Si producto de la decisión de que trata el artículo anterior una entidad territorial niega que los espectáculos taurinos sean considerados como una manifestación de una tradición regular, periódica e ininterrumpida dentro de su territorio, deberá adoptar todas las medidas necesarias para garantizar a las personas que se dediquen a las actividades económicas relacionadas con las prácticas taurinas la continuidad del derecho al trabajo y el acceso a actividades culturales y deportivas.</w:t>
            </w:r>
          </w:p>
          <w:p w14:paraId="1FAEF1D8" w14:textId="77777777" w:rsidR="000F3F03" w:rsidRPr="00543100" w:rsidRDefault="000F3F03" w:rsidP="000F3F03">
            <w:pPr>
              <w:jc w:val="both"/>
              <w:rPr>
                <w:rFonts w:ascii="Book Antiqua" w:hAnsi="Book Antiqua" w:cs="Times New Roman"/>
              </w:rPr>
            </w:pPr>
          </w:p>
          <w:p w14:paraId="42DDF80C" w14:textId="77777777" w:rsidR="000F3F03" w:rsidRPr="00543100" w:rsidRDefault="000F3F03" w:rsidP="000F6485">
            <w:pPr>
              <w:spacing w:line="276" w:lineRule="auto"/>
              <w:ind w:right="193"/>
              <w:jc w:val="both"/>
              <w:rPr>
                <w:rFonts w:ascii="Book Antiqua" w:hAnsi="Book Antiqua"/>
              </w:rPr>
            </w:pPr>
          </w:p>
        </w:tc>
        <w:tc>
          <w:tcPr>
            <w:tcW w:w="4414" w:type="dxa"/>
          </w:tcPr>
          <w:p w14:paraId="204CFD82" w14:textId="269992DD" w:rsidR="00D51BAC" w:rsidRDefault="00A91D5B" w:rsidP="00A91D5B">
            <w:pPr>
              <w:jc w:val="both"/>
              <w:rPr>
                <w:rFonts w:ascii="Book Antiqua" w:hAnsi="Book Antiqua" w:cs="Times New Roman"/>
              </w:rPr>
            </w:pPr>
            <w:r w:rsidRPr="00543100">
              <w:rPr>
                <w:rFonts w:ascii="Book Antiqua" w:hAnsi="Book Antiqua" w:cs="Times New Roman"/>
                <w:b/>
                <w:bCs/>
              </w:rPr>
              <w:t>Artículo 3°</w:t>
            </w:r>
            <w:r w:rsidRPr="00543100">
              <w:rPr>
                <w:rFonts w:ascii="Book Antiqua" w:hAnsi="Book Antiqua" w:cs="Times New Roman"/>
              </w:rPr>
              <w:t xml:space="preserve">. Si producto de la decisión de que trata el artículo anterior una entidad territorial niega que los espectáculos taurinos sean considerados como una manifestación de una tradición regular, periódica e ininterrumpida dentro de su territorio, </w:t>
            </w:r>
            <w:r w:rsidR="001F1FB0" w:rsidRPr="00543100">
              <w:rPr>
                <w:rFonts w:ascii="Book Antiqua" w:hAnsi="Book Antiqua" w:cs="Times New Roman"/>
                <w:b/>
                <w:bCs/>
                <w:u w:val="single"/>
              </w:rPr>
              <w:t>tendrán que</w:t>
            </w:r>
            <w:r w:rsidRPr="00543100">
              <w:rPr>
                <w:rFonts w:ascii="Book Antiqua" w:hAnsi="Book Antiqua" w:cs="Times New Roman"/>
                <w:b/>
                <w:bCs/>
                <w:u w:val="single"/>
              </w:rPr>
              <w:t xml:space="preserve"> adoptar</w:t>
            </w:r>
            <w:r w:rsidR="001F1FB0" w:rsidRPr="00543100">
              <w:rPr>
                <w:rFonts w:ascii="Book Antiqua" w:hAnsi="Book Antiqua" w:cs="Times New Roman"/>
                <w:b/>
                <w:bCs/>
                <w:u w:val="single"/>
              </w:rPr>
              <w:t>se</w:t>
            </w:r>
            <w:r w:rsidRPr="00543100">
              <w:rPr>
                <w:rFonts w:ascii="Book Antiqua" w:hAnsi="Book Antiqua" w:cs="Times New Roman"/>
              </w:rPr>
              <w:t xml:space="preserve"> todas las medidas necesarias para garantizar a las personas que se dediquen a las actividades económicas relacionadas </w:t>
            </w:r>
            <w:r w:rsidR="00D51BAC">
              <w:rPr>
                <w:rFonts w:ascii="Book Antiqua" w:hAnsi="Book Antiqua" w:cs="Times New Roman"/>
              </w:rPr>
              <w:t xml:space="preserve"> </w:t>
            </w:r>
            <w:r w:rsidR="00D51BAC" w:rsidRPr="00D51BAC">
              <w:rPr>
                <w:rFonts w:ascii="Book Antiqua" w:hAnsi="Book Antiqua" w:cs="Times New Roman"/>
                <w:b/>
                <w:bCs/>
                <w:u w:val="single"/>
              </w:rPr>
              <w:t>y derivadas d</w:t>
            </w:r>
            <w:r w:rsidR="00D51BAC" w:rsidRPr="00D51BAC">
              <w:rPr>
                <w:rFonts w:ascii="Book Antiqua" w:hAnsi="Book Antiqua" w:cs="Times New Roman"/>
                <w:u w:val="single"/>
              </w:rPr>
              <w:t>e</w:t>
            </w:r>
            <w:r w:rsidR="00D51BAC">
              <w:rPr>
                <w:rFonts w:ascii="Book Antiqua" w:hAnsi="Book Antiqua" w:cs="Times New Roman"/>
              </w:rPr>
              <w:t xml:space="preserve"> </w:t>
            </w:r>
            <w:r w:rsidRPr="00543100">
              <w:rPr>
                <w:rFonts w:ascii="Book Antiqua" w:hAnsi="Book Antiqua" w:cs="Times New Roman"/>
              </w:rPr>
              <w:t xml:space="preserve">las prácticas taurinas la continuidad del derecho al trabajo y el acceso a </w:t>
            </w:r>
            <w:r w:rsidRPr="000B6B37">
              <w:rPr>
                <w:rFonts w:ascii="Book Antiqua" w:hAnsi="Book Antiqua" w:cs="Times New Roman"/>
              </w:rPr>
              <w:t xml:space="preserve">actividades </w:t>
            </w:r>
            <w:r w:rsidRPr="00543100">
              <w:rPr>
                <w:rFonts w:ascii="Book Antiqua" w:hAnsi="Book Antiqua" w:cs="Times New Roman"/>
              </w:rPr>
              <w:t>culturales y deportivas.</w:t>
            </w:r>
          </w:p>
          <w:p w14:paraId="4A61EF75" w14:textId="2A2C3E90" w:rsidR="00A91D5B" w:rsidRPr="00543100" w:rsidRDefault="00A91D5B" w:rsidP="00A91D5B">
            <w:pPr>
              <w:jc w:val="both"/>
              <w:rPr>
                <w:rFonts w:ascii="Book Antiqua" w:hAnsi="Book Antiqua" w:cs="Times New Roman"/>
              </w:rPr>
            </w:pPr>
          </w:p>
          <w:p w14:paraId="7DC50BA2" w14:textId="37B47FC5" w:rsidR="00A91D5B" w:rsidRDefault="000B6B37" w:rsidP="00A91D5B">
            <w:pPr>
              <w:pBdr>
                <w:top w:val="nil"/>
                <w:left w:val="nil"/>
                <w:bottom w:val="nil"/>
                <w:right w:val="nil"/>
                <w:between w:val="nil"/>
              </w:pBdr>
              <w:jc w:val="both"/>
              <w:rPr>
                <w:rFonts w:ascii="Book Antiqua" w:eastAsia="Bookman Old Style" w:hAnsi="Book Antiqua" w:cs="Bookman Old Style"/>
                <w:b/>
                <w:bCs/>
                <w:color w:val="000000"/>
                <w:u w:val="single"/>
              </w:rPr>
            </w:pPr>
            <w:r w:rsidRPr="00543100">
              <w:rPr>
                <w:rFonts w:ascii="Book Antiqua" w:hAnsi="Book Antiqua" w:cs="Times New Roman"/>
                <w:b/>
                <w:bCs/>
                <w:u w:val="single"/>
              </w:rPr>
              <w:t>Parágrafo 1</w:t>
            </w:r>
            <w:r w:rsidR="00A91D5B" w:rsidRPr="00543100">
              <w:rPr>
                <w:rFonts w:ascii="Book Antiqua" w:hAnsi="Book Antiqua" w:cs="Times New Roman"/>
                <w:b/>
                <w:bCs/>
                <w:u w:val="single"/>
              </w:rPr>
              <w:t xml:space="preserve">. </w:t>
            </w:r>
            <w:r w:rsidR="00A91D5B" w:rsidRPr="00543100">
              <w:rPr>
                <w:rFonts w:ascii="Book Antiqua" w:eastAsia="Bookman Old Style" w:hAnsi="Book Antiqua" w:cs="Bookman Old Style"/>
                <w:b/>
                <w:bCs/>
                <w:color w:val="000000"/>
                <w:u w:val="single"/>
              </w:rPr>
              <w:t xml:space="preserve">El </w:t>
            </w:r>
            <w:r w:rsidR="00F453D2">
              <w:rPr>
                <w:rFonts w:ascii="Book Antiqua" w:eastAsia="Bookman Old Style" w:hAnsi="Book Antiqua" w:cs="Bookman Old Style"/>
                <w:b/>
                <w:bCs/>
                <w:color w:val="000000"/>
                <w:u w:val="single"/>
              </w:rPr>
              <w:t xml:space="preserve">Gobierno Nacional a través del </w:t>
            </w:r>
            <w:r w:rsidR="00A91D5B" w:rsidRPr="00543100">
              <w:rPr>
                <w:rFonts w:ascii="Book Antiqua" w:eastAsia="Bookman Old Style" w:hAnsi="Book Antiqua" w:cs="Bookman Old Style"/>
                <w:b/>
                <w:bCs/>
                <w:color w:val="000000"/>
                <w:u w:val="single"/>
              </w:rPr>
              <w:t>Ministerio del Trabajo</w:t>
            </w:r>
            <w:r w:rsidR="00D51BAC">
              <w:rPr>
                <w:rFonts w:ascii="Book Antiqua" w:eastAsia="Bookman Old Style" w:hAnsi="Book Antiqua" w:cs="Bookman Old Style"/>
                <w:b/>
                <w:bCs/>
                <w:color w:val="000000"/>
                <w:u w:val="single"/>
              </w:rPr>
              <w:t>, Ministerio de Comercio, Industria y Turismo</w:t>
            </w:r>
            <w:r w:rsidR="001F1FB0" w:rsidRPr="00543100">
              <w:rPr>
                <w:rFonts w:ascii="Book Antiqua" w:eastAsia="Bookman Old Style" w:hAnsi="Book Antiqua" w:cs="Bookman Old Style"/>
                <w:b/>
                <w:bCs/>
                <w:color w:val="000000"/>
                <w:u w:val="single"/>
              </w:rPr>
              <w:t xml:space="preserve"> y </w:t>
            </w:r>
            <w:r w:rsidR="00A91D5B" w:rsidRPr="00543100">
              <w:rPr>
                <w:rFonts w:ascii="Book Antiqua" w:eastAsia="Bookman Old Style" w:hAnsi="Book Antiqua" w:cs="Bookman Old Style"/>
                <w:b/>
                <w:bCs/>
                <w:color w:val="000000"/>
                <w:u w:val="single"/>
              </w:rPr>
              <w:t>el Ministerio del Interior en el marco de sus competencias</w:t>
            </w:r>
            <w:r w:rsidR="00D51BAC">
              <w:rPr>
                <w:rFonts w:ascii="Book Antiqua" w:eastAsia="Bookman Old Style" w:hAnsi="Book Antiqua" w:cs="Bookman Old Style"/>
                <w:b/>
                <w:bCs/>
                <w:color w:val="000000"/>
                <w:u w:val="single"/>
              </w:rPr>
              <w:t xml:space="preserve"> y en coordinación con las entidades territoriales,</w:t>
            </w:r>
            <w:r w:rsidR="00D51BAC" w:rsidRPr="00543100">
              <w:rPr>
                <w:rFonts w:ascii="Book Antiqua" w:eastAsia="Bookman Old Style" w:hAnsi="Book Antiqua" w:cs="Bookman Old Style"/>
                <w:b/>
                <w:bCs/>
                <w:color w:val="000000"/>
                <w:u w:val="single"/>
              </w:rPr>
              <w:t xml:space="preserve"> garantizando la participación de los sectores que tengan intereses</w:t>
            </w:r>
            <w:r w:rsidR="00D51BAC">
              <w:rPr>
                <w:rFonts w:ascii="Book Antiqua" w:eastAsia="Bookman Old Style" w:hAnsi="Book Antiqua" w:cs="Bookman Old Style"/>
                <w:b/>
                <w:bCs/>
                <w:color w:val="000000"/>
                <w:u w:val="single"/>
              </w:rPr>
              <w:t xml:space="preserve">,  </w:t>
            </w:r>
            <w:r w:rsidR="00A91D5B" w:rsidRPr="00543100">
              <w:rPr>
                <w:rFonts w:ascii="Book Antiqua" w:eastAsia="Bookman Old Style" w:hAnsi="Book Antiqua" w:cs="Bookman Old Style"/>
                <w:b/>
                <w:bCs/>
                <w:color w:val="000000"/>
                <w:u w:val="single"/>
              </w:rPr>
              <w:t>tendrá</w:t>
            </w:r>
            <w:r w:rsidR="00D51BAC">
              <w:rPr>
                <w:rFonts w:ascii="Book Antiqua" w:eastAsia="Bookman Old Style" w:hAnsi="Book Antiqua" w:cs="Bookman Old Style"/>
                <w:b/>
                <w:bCs/>
                <w:color w:val="000000"/>
                <w:u w:val="single"/>
              </w:rPr>
              <w:t>n</w:t>
            </w:r>
            <w:r w:rsidR="00A91D5B" w:rsidRPr="00543100">
              <w:rPr>
                <w:rFonts w:ascii="Book Antiqua" w:eastAsia="Bookman Old Style" w:hAnsi="Book Antiqua" w:cs="Bookman Old Style"/>
                <w:b/>
                <w:bCs/>
                <w:color w:val="000000"/>
                <w:u w:val="single"/>
              </w:rPr>
              <w:t xml:space="preserve"> un plazo de seis (6) meses contados a partir de la expedición de la presente ley para </w:t>
            </w:r>
            <w:r w:rsidR="0031245E">
              <w:rPr>
                <w:rFonts w:ascii="Book Antiqua" w:eastAsia="Bookman Old Style" w:hAnsi="Book Antiqua" w:cs="Bookman Old Style"/>
                <w:b/>
                <w:bCs/>
                <w:color w:val="000000"/>
                <w:u w:val="single"/>
              </w:rPr>
              <w:t>formular</w:t>
            </w:r>
            <w:r w:rsidR="00A91D5B" w:rsidRPr="00543100">
              <w:rPr>
                <w:rFonts w:ascii="Book Antiqua" w:eastAsia="Bookman Old Style" w:hAnsi="Book Antiqua" w:cs="Bookman Old Style"/>
                <w:b/>
                <w:bCs/>
                <w:color w:val="000000"/>
                <w:u w:val="single"/>
              </w:rPr>
              <w:t xml:space="preserve"> un Plan de Adaptación Laboral con el cual garantizan</w:t>
            </w:r>
            <w:r w:rsidR="00D51BAC">
              <w:rPr>
                <w:rFonts w:ascii="Book Antiqua" w:eastAsia="Bookman Old Style" w:hAnsi="Book Antiqua" w:cs="Bookman Old Style"/>
                <w:b/>
                <w:bCs/>
                <w:color w:val="000000"/>
                <w:u w:val="single"/>
              </w:rPr>
              <w:t xml:space="preserve"> </w:t>
            </w:r>
            <w:r w:rsidR="00A91D5B" w:rsidRPr="00543100">
              <w:rPr>
                <w:rFonts w:ascii="Book Antiqua" w:eastAsia="Bookman Old Style" w:hAnsi="Book Antiqua" w:cs="Bookman Old Style"/>
                <w:b/>
                <w:bCs/>
                <w:color w:val="000000"/>
                <w:u w:val="single"/>
              </w:rPr>
              <w:t xml:space="preserve"> programas efectivos de reconversión económica para las personas que demuestren que sus ingresos y sustento económico principal, se derivan de las actividades </w:t>
            </w:r>
            <w:r w:rsidR="001F1FB0" w:rsidRPr="00543100">
              <w:rPr>
                <w:rFonts w:ascii="Book Antiqua" w:eastAsia="Bookman Old Style" w:hAnsi="Book Antiqua" w:cs="Bookman Old Style"/>
                <w:b/>
                <w:bCs/>
                <w:color w:val="000000"/>
                <w:u w:val="single"/>
              </w:rPr>
              <w:t>del del espectáculo taurino</w:t>
            </w:r>
            <w:r w:rsidR="00F453D2">
              <w:rPr>
                <w:rFonts w:ascii="Book Antiqua" w:eastAsia="Bookman Old Style" w:hAnsi="Book Antiqua" w:cs="Bookman Old Style"/>
                <w:b/>
                <w:bCs/>
                <w:color w:val="000000"/>
                <w:u w:val="single"/>
              </w:rPr>
              <w:t xml:space="preserve">. </w:t>
            </w:r>
          </w:p>
          <w:p w14:paraId="4AFD921F" w14:textId="36B59875" w:rsidR="00D51BAC" w:rsidRDefault="00D51BAC" w:rsidP="00A91D5B">
            <w:pPr>
              <w:pBdr>
                <w:top w:val="nil"/>
                <w:left w:val="nil"/>
                <w:bottom w:val="nil"/>
                <w:right w:val="nil"/>
                <w:between w:val="nil"/>
              </w:pBdr>
              <w:jc w:val="both"/>
              <w:rPr>
                <w:rFonts w:ascii="Book Antiqua" w:eastAsia="Bookman Old Style" w:hAnsi="Book Antiqua" w:cs="Bookman Old Style"/>
                <w:b/>
                <w:bCs/>
                <w:color w:val="000000"/>
                <w:u w:val="single"/>
              </w:rPr>
            </w:pPr>
          </w:p>
          <w:p w14:paraId="7E68D2BB" w14:textId="4B5EBA5F" w:rsidR="00A91D5B" w:rsidRPr="00543100" w:rsidRDefault="00A91D5B" w:rsidP="00A91D5B">
            <w:pPr>
              <w:jc w:val="both"/>
              <w:rPr>
                <w:rFonts w:ascii="Book Antiqua" w:hAnsi="Book Antiqua" w:cs="Times New Roman"/>
                <w:b/>
                <w:bCs/>
                <w:u w:val="single"/>
              </w:rPr>
            </w:pPr>
          </w:p>
          <w:p w14:paraId="0C20B17F" w14:textId="46359DC1" w:rsidR="001F1FB0" w:rsidRDefault="000B6B37" w:rsidP="00A91D5B">
            <w:pPr>
              <w:jc w:val="both"/>
              <w:rPr>
                <w:rFonts w:ascii="Book Antiqua" w:hAnsi="Book Antiqua" w:cs="Times New Roman"/>
                <w:b/>
                <w:bCs/>
                <w:u w:val="single"/>
              </w:rPr>
            </w:pPr>
            <w:r w:rsidRPr="00543100">
              <w:rPr>
                <w:rFonts w:ascii="Book Antiqua" w:hAnsi="Book Antiqua" w:cs="Times New Roman"/>
                <w:b/>
                <w:bCs/>
                <w:u w:val="single"/>
              </w:rPr>
              <w:t>Parágrafo 2</w:t>
            </w:r>
            <w:r w:rsidR="001F1FB0" w:rsidRPr="00543100">
              <w:rPr>
                <w:rFonts w:ascii="Book Antiqua" w:hAnsi="Book Antiqua" w:cs="Times New Roman"/>
                <w:b/>
                <w:bCs/>
                <w:u w:val="single"/>
              </w:rPr>
              <w:t>.</w:t>
            </w:r>
            <w:r w:rsidR="00F453D2">
              <w:rPr>
                <w:rFonts w:ascii="Book Antiqua" w:hAnsi="Book Antiqua" w:cs="Times New Roman"/>
                <w:b/>
                <w:bCs/>
                <w:u w:val="single"/>
              </w:rPr>
              <w:t xml:space="preserve"> </w:t>
            </w:r>
            <w:r w:rsidR="00F453D2" w:rsidRPr="00543100">
              <w:rPr>
                <w:rFonts w:ascii="Book Antiqua" w:eastAsia="Bookman Old Style" w:hAnsi="Book Antiqua" w:cs="Bookman Old Style"/>
                <w:b/>
                <w:bCs/>
                <w:color w:val="000000"/>
                <w:u w:val="single"/>
              </w:rPr>
              <w:t xml:space="preserve">El </w:t>
            </w:r>
            <w:r w:rsidR="00F453D2">
              <w:rPr>
                <w:rFonts w:ascii="Book Antiqua" w:eastAsia="Bookman Old Style" w:hAnsi="Book Antiqua" w:cs="Bookman Old Style"/>
                <w:b/>
                <w:bCs/>
                <w:color w:val="000000"/>
                <w:u w:val="single"/>
              </w:rPr>
              <w:t xml:space="preserve">Gobierno Nacional a través del </w:t>
            </w:r>
            <w:r w:rsidR="001F1FB0" w:rsidRPr="00543100">
              <w:rPr>
                <w:rFonts w:ascii="Book Antiqua" w:hAnsi="Book Antiqua" w:cs="Times New Roman"/>
                <w:b/>
                <w:bCs/>
                <w:u w:val="single"/>
              </w:rPr>
              <w:t>Ministerio de Cultura y el Ministerio de Deporte,</w:t>
            </w:r>
            <w:r w:rsidR="001F1FB0" w:rsidRPr="00543100">
              <w:rPr>
                <w:rFonts w:ascii="Book Antiqua" w:eastAsia="Bookman Old Style" w:hAnsi="Book Antiqua" w:cs="Bookman Old Style"/>
                <w:b/>
                <w:bCs/>
                <w:color w:val="000000"/>
                <w:u w:val="single"/>
              </w:rPr>
              <w:t xml:space="preserve"> </w:t>
            </w:r>
            <w:r w:rsidR="00D51BAC" w:rsidRPr="00543100">
              <w:rPr>
                <w:rFonts w:ascii="Book Antiqua" w:eastAsia="Bookman Old Style" w:hAnsi="Book Antiqua" w:cs="Bookman Old Style"/>
                <w:b/>
                <w:bCs/>
                <w:color w:val="000000"/>
                <w:u w:val="single"/>
              </w:rPr>
              <w:t>en el marco de sus competencias</w:t>
            </w:r>
            <w:r w:rsidR="00D51BAC">
              <w:rPr>
                <w:rFonts w:ascii="Book Antiqua" w:eastAsia="Bookman Old Style" w:hAnsi="Book Antiqua" w:cs="Bookman Old Style"/>
                <w:b/>
                <w:bCs/>
                <w:color w:val="000000"/>
                <w:u w:val="single"/>
              </w:rPr>
              <w:t xml:space="preserve"> y en coordinación con las entidades territoriales,</w:t>
            </w:r>
            <w:r w:rsidR="00D51BAC" w:rsidRPr="00543100">
              <w:rPr>
                <w:rFonts w:ascii="Book Antiqua" w:eastAsia="Bookman Old Style" w:hAnsi="Book Antiqua" w:cs="Bookman Old Style"/>
                <w:b/>
                <w:bCs/>
                <w:color w:val="000000"/>
                <w:u w:val="single"/>
              </w:rPr>
              <w:t xml:space="preserve"> garantizando la </w:t>
            </w:r>
            <w:r w:rsidR="00D51BAC" w:rsidRPr="00543100">
              <w:rPr>
                <w:rFonts w:ascii="Book Antiqua" w:eastAsia="Bookman Old Style" w:hAnsi="Book Antiqua" w:cs="Bookman Old Style"/>
                <w:b/>
                <w:bCs/>
                <w:color w:val="000000"/>
                <w:u w:val="single"/>
              </w:rPr>
              <w:lastRenderedPageBreak/>
              <w:t>participación de los que tengan intereses</w:t>
            </w:r>
            <w:r w:rsidR="00D51BAC">
              <w:rPr>
                <w:rFonts w:ascii="Book Antiqua" w:eastAsia="Bookman Old Style" w:hAnsi="Book Antiqua" w:cs="Bookman Old Style"/>
                <w:b/>
                <w:bCs/>
                <w:color w:val="000000"/>
                <w:u w:val="single"/>
              </w:rPr>
              <w:t>,</w:t>
            </w:r>
            <w:r w:rsidR="00D51BAC" w:rsidRPr="00543100">
              <w:rPr>
                <w:rFonts w:ascii="Book Antiqua" w:eastAsia="Bookman Old Style" w:hAnsi="Book Antiqua" w:cs="Bookman Old Style"/>
                <w:b/>
                <w:bCs/>
                <w:color w:val="000000"/>
                <w:u w:val="single"/>
              </w:rPr>
              <w:t xml:space="preserve"> </w:t>
            </w:r>
            <w:r w:rsidR="001F1FB0" w:rsidRPr="00543100">
              <w:rPr>
                <w:rFonts w:ascii="Book Antiqua" w:eastAsia="Bookman Old Style" w:hAnsi="Book Antiqua" w:cs="Bookman Old Style"/>
                <w:b/>
                <w:bCs/>
                <w:color w:val="000000"/>
                <w:u w:val="single"/>
              </w:rPr>
              <w:t xml:space="preserve">tendrá un plazo de seis (6) meses contados a partir de la expedición de la presente ley para </w:t>
            </w:r>
            <w:r w:rsidR="0031245E">
              <w:rPr>
                <w:rFonts w:ascii="Book Antiqua" w:eastAsia="Bookman Old Style" w:hAnsi="Book Antiqua" w:cs="Bookman Old Style"/>
                <w:b/>
                <w:bCs/>
                <w:color w:val="000000"/>
                <w:u w:val="single"/>
              </w:rPr>
              <w:t>formular un</w:t>
            </w:r>
            <w:r w:rsidR="001F1FB0" w:rsidRPr="00543100">
              <w:rPr>
                <w:rFonts w:ascii="Book Antiqua" w:eastAsia="Bookman Old Style" w:hAnsi="Book Antiqua" w:cs="Bookman Old Style"/>
                <w:b/>
                <w:bCs/>
                <w:color w:val="000000"/>
                <w:u w:val="single"/>
              </w:rPr>
              <w:t xml:space="preserve"> </w:t>
            </w:r>
            <w:r w:rsidR="001F1FB0" w:rsidRPr="00543100">
              <w:rPr>
                <w:rFonts w:ascii="Book Antiqua" w:hAnsi="Book Antiqua" w:cs="Times New Roman"/>
                <w:b/>
                <w:bCs/>
                <w:u w:val="single"/>
              </w:rPr>
              <w:t xml:space="preserve">plan de acción con lineamientos para la promoción de distintas </w:t>
            </w:r>
            <w:r w:rsidR="00D51BAC" w:rsidRPr="00543100">
              <w:rPr>
                <w:rFonts w:ascii="Book Antiqua" w:hAnsi="Book Antiqua" w:cs="Times New Roman"/>
                <w:b/>
                <w:bCs/>
                <w:u w:val="single"/>
              </w:rPr>
              <w:t>prácticas</w:t>
            </w:r>
            <w:r w:rsidR="001F1FB0" w:rsidRPr="00543100">
              <w:rPr>
                <w:rFonts w:ascii="Book Antiqua" w:hAnsi="Book Antiqua" w:cs="Times New Roman"/>
                <w:b/>
                <w:bCs/>
                <w:u w:val="single"/>
              </w:rPr>
              <w:t xml:space="preserve"> culturales y deportivas en las </w:t>
            </w:r>
            <w:r w:rsidR="001F1FB0" w:rsidRPr="00F453D2">
              <w:rPr>
                <w:rFonts w:ascii="Book Antiqua" w:hAnsi="Book Antiqua" w:cs="Times New Roman"/>
                <w:b/>
                <w:bCs/>
                <w:u w:val="single"/>
              </w:rPr>
              <w:t>respectivas entidades territoriales</w:t>
            </w:r>
            <w:r w:rsidR="00D51BAC" w:rsidRPr="00F453D2">
              <w:rPr>
                <w:rFonts w:ascii="Book Antiqua" w:hAnsi="Book Antiqua" w:cs="Times New Roman"/>
                <w:b/>
                <w:bCs/>
                <w:u w:val="single"/>
              </w:rPr>
              <w:t xml:space="preserve"> que negaron que los espectáculos taurinos sean considerados como una manifestación de una tradición regular, periódica e ininterrumpida</w:t>
            </w:r>
            <w:r w:rsidR="0031245E">
              <w:rPr>
                <w:rFonts w:ascii="Book Antiqua" w:hAnsi="Book Antiqua" w:cs="Times New Roman"/>
                <w:b/>
                <w:bCs/>
                <w:u w:val="single"/>
              </w:rPr>
              <w:t>.</w:t>
            </w:r>
          </w:p>
          <w:p w14:paraId="649BBDBA" w14:textId="45CA707F" w:rsidR="00F453D2" w:rsidRDefault="00F453D2" w:rsidP="00A91D5B">
            <w:pPr>
              <w:jc w:val="both"/>
              <w:rPr>
                <w:rFonts w:ascii="Book Antiqua" w:hAnsi="Book Antiqua" w:cs="Times New Roman"/>
                <w:b/>
                <w:bCs/>
                <w:u w:val="single"/>
              </w:rPr>
            </w:pPr>
          </w:p>
          <w:p w14:paraId="024A8F82" w14:textId="7E7A01ED" w:rsidR="00F453D2" w:rsidRPr="00543100" w:rsidRDefault="00F453D2" w:rsidP="00A91D5B">
            <w:pPr>
              <w:jc w:val="both"/>
              <w:rPr>
                <w:rFonts w:ascii="Book Antiqua" w:hAnsi="Book Antiqua" w:cs="Times New Roman"/>
                <w:b/>
                <w:bCs/>
                <w:u w:val="single"/>
              </w:rPr>
            </w:pPr>
            <w:r>
              <w:rPr>
                <w:rFonts w:ascii="Book Antiqua" w:hAnsi="Book Antiqua" w:cs="Times New Roman"/>
                <w:b/>
                <w:bCs/>
                <w:u w:val="single"/>
              </w:rPr>
              <w:t xml:space="preserve">Parágrafo 3. La implementación </w:t>
            </w:r>
            <w:r w:rsidR="000B6B37">
              <w:rPr>
                <w:rFonts w:ascii="Book Antiqua" w:hAnsi="Book Antiqua" w:cs="Times New Roman"/>
                <w:b/>
                <w:bCs/>
                <w:u w:val="single"/>
              </w:rPr>
              <w:t xml:space="preserve">del Plan de Adaptación Laboral y </w:t>
            </w:r>
            <w:r w:rsidR="0042078B">
              <w:rPr>
                <w:rFonts w:ascii="Book Antiqua" w:hAnsi="Book Antiqua" w:cs="Times New Roman"/>
                <w:b/>
                <w:bCs/>
                <w:u w:val="single"/>
              </w:rPr>
              <w:t xml:space="preserve">el </w:t>
            </w:r>
            <w:r w:rsidR="000B6B37">
              <w:rPr>
                <w:rFonts w:ascii="Book Antiqua" w:hAnsi="Book Antiqua" w:cs="Times New Roman"/>
                <w:b/>
                <w:bCs/>
                <w:u w:val="single"/>
              </w:rPr>
              <w:t xml:space="preserve">Plan de Acción </w:t>
            </w:r>
            <w:r w:rsidR="000B6B37" w:rsidRPr="00543100">
              <w:rPr>
                <w:rFonts w:ascii="Book Antiqua" w:hAnsi="Book Antiqua" w:cs="Times New Roman"/>
                <w:b/>
                <w:bCs/>
                <w:u w:val="single"/>
              </w:rPr>
              <w:t xml:space="preserve">para la promoción de distintas prácticas culturales y deportivas </w:t>
            </w:r>
            <w:r w:rsidR="0031245E">
              <w:rPr>
                <w:rFonts w:ascii="Book Antiqua" w:hAnsi="Book Antiqua" w:cs="Times New Roman"/>
                <w:b/>
                <w:bCs/>
                <w:u w:val="single"/>
              </w:rPr>
              <w:t xml:space="preserve">de </w:t>
            </w:r>
            <w:r>
              <w:rPr>
                <w:rFonts w:ascii="Book Antiqua" w:hAnsi="Book Antiqua" w:cs="Times New Roman"/>
                <w:b/>
                <w:bCs/>
                <w:u w:val="single"/>
              </w:rPr>
              <w:t>que tratan los parágrafos 1 y 2, también estará</w:t>
            </w:r>
            <w:r w:rsidR="0031245E">
              <w:rPr>
                <w:rFonts w:ascii="Book Antiqua" w:hAnsi="Book Antiqua" w:cs="Times New Roman"/>
                <w:b/>
                <w:bCs/>
                <w:u w:val="single"/>
              </w:rPr>
              <w:t>n</w:t>
            </w:r>
            <w:r>
              <w:rPr>
                <w:rFonts w:ascii="Book Antiqua" w:hAnsi="Book Antiqua" w:cs="Times New Roman"/>
                <w:b/>
                <w:bCs/>
                <w:u w:val="single"/>
              </w:rPr>
              <w:t xml:space="preserve"> a cargo de la</w:t>
            </w:r>
            <w:r w:rsidR="000B6B37">
              <w:rPr>
                <w:rFonts w:ascii="Book Antiqua" w:hAnsi="Book Antiqua" w:cs="Times New Roman"/>
                <w:b/>
                <w:bCs/>
                <w:u w:val="single"/>
              </w:rPr>
              <w:t>s</w:t>
            </w:r>
            <w:r>
              <w:rPr>
                <w:rFonts w:ascii="Book Antiqua" w:hAnsi="Book Antiqua" w:cs="Times New Roman"/>
                <w:b/>
                <w:bCs/>
                <w:u w:val="single"/>
              </w:rPr>
              <w:t xml:space="preserve"> entidades que participaron en su elaboración, respectivamente. </w:t>
            </w:r>
          </w:p>
          <w:p w14:paraId="5881CDA2" w14:textId="7E11A8C0" w:rsidR="000F3F03" w:rsidRPr="00543100" w:rsidRDefault="000F3F03" w:rsidP="000F6485">
            <w:pPr>
              <w:spacing w:line="276" w:lineRule="auto"/>
              <w:ind w:right="193"/>
              <w:jc w:val="both"/>
              <w:rPr>
                <w:rFonts w:ascii="Book Antiqua" w:hAnsi="Book Antiqua"/>
              </w:rPr>
            </w:pPr>
          </w:p>
        </w:tc>
      </w:tr>
      <w:tr w:rsidR="000F3F03" w:rsidRPr="00543100" w14:paraId="5EB9A27E" w14:textId="77777777" w:rsidTr="000F3F03">
        <w:tc>
          <w:tcPr>
            <w:tcW w:w="4414" w:type="dxa"/>
          </w:tcPr>
          <w:p w14:paraId="3B4DAAD6" w14:textId="4392BE65" w:rsidR="000F3F03" w:rsidRPr="00543100" w:rsidRDefault="000F3F03" w:rsidP="00543100">
            <w:pPr>
              <w:jc w:val="both"/>
              <w:rPr>
                <w:rFonts w:ascii="Book Antiqua" w:hAnsi="Book Antiqua" w:cs="Times New Roman"/>
              </w:rPr>
            </w:pPr>
            <w:r w:rsidRPr="00543100">
              <w:rPr>
                <w:rFonts w:ascii="Book Antiqua" w:hAnsi="Book Antiqua" w:cs="Times New Roman"/>
                <w:b/>
                <w:bCs/>
              </w:rPr>
              <w:lastRenderedPageBreak/>
              <w:t>Artículo 4°</w:t>
            </w:r>
            <w:r w:rsidRPr="00543100">
              <w:rPr>
                <w:rFonts w:ascii="Book Antiqua" w:hAnsi="Book Antiqua" w:cs="Times New Roman"/>
              </w:rPr>
              <w:t>. La presente ley rige a partir de su expedición y deroga todas las disposiciones que le sean contrarias.</w:t>
            </w:r>
          </w:p>
        </w:tc>
        <w:tc>
          <w:tcPr>
            <w:tcW w:w="4414" w:type="dxa"/>
          </w:tcPr>
          <w:p w14:paraId="2D9F98E7" w14:textId="5FAB240C" w:rsidR="000F3F03" w:rsidRPr="00543100" w:rsidRDefault="00A91D5B" w:rsidP="00543100">
            <w:pPr>
              <w:jc w:val="both"/>
              <w:rPr>
                <w:rFonts w:ascii="Book Antiqua" w:hAnsi="Book Antiqua" w:cs="Times New Roman"/>
              </w:rPr>
            </w:pPr>
            <w:r w:rsidRPr="00543100">
              <w:rPr>
                <w:rFonts w:ascii="Book Antiqua" w:hAnsi="Book Antiqua" w:cs="Times New Roman"/>
                <w:b/>
                <w:bCs/>
              </w:rPr>
              <w:t>Artículo 4°</w:t>
            </w:r>
            <w:r w:rsidRPr="00543100">
              <w:rPr>
                <w:rFonts w:ascii="Book Antiqua" w:hAnsi="Book Antiqua" w:cs="Times New Roman"/>
              </w:rPr>
              <w:t>. La presente ley rige a partir de su expedición y deroga todas las disposiciones que le sean contrarias.</w:t>
            </w:r>
          </w:p>
        </w:tc>
      </w:tr>
    </w:tbl>
    <w:p w14:paraId="33932635" w14:textId="2E29B7D9" w:rsidR="00177EEB" w:rsidRDefault="00177EEB" w:rsidP="00D552A5">
      <w:pPr>
        <w:shd w:val="clear" w:color="auto" w:fill="FFFFFF"/>
        <w:spacing w:after="0" w:line="276" w:lineRule="auto"/>
        <w:ind w:right="193"/>
        <w:jc w:val="both"/>
        <w:rPr>
          <w:rFonts w:ascii="Book Antiqua" w:hAnsi="Book Antiqua"/>
          <w:b/>
          <w:bCs/>
          <w:sz w:val="24"/>
          <w:szCs w:val="24"/>
        </w:rPr>
      </w:pPr>
    </w:p>
    <w:p w14:paraId="117EBC74" w14:textId="77777777" w:rsidR="00543100" w:rsidRPr="00D552A5" w:rsidRDefault="00543100" w:rsidP="00D552A5">
      <w:pPr>
        <w:shd w:val="clear" w:color="auto" w:fill="FFFFFF"/>
        <w:spacing w:after="0" w:line="276" w:lineRule="auto"/>
        <w:ind w:right="193"/>
        <w:jc w:val="both"/>
        <w:rPr>
          <w:rFonts w:ascii="Book Antiqua" w:hAnsi="Book Antiqua"/>
          <w:b/>
          <w:bCs/>
          <w:sz w:val="24"/>
          <w:szCs w:val="24"/>
        </w:rPr>
      </w:pPr>
    </w:p>
    <w:p w14:paraId="5EE68ED4" w14:textId="7D800E98" w:rsidR="00D552A5" w:rsidRPr="00D552A5" w:rsidRDefault="00D552A5" w:rsidP="00D552A5">
      <w:pPr>
        <w:pStyle w:val="Prrafodelista"/>
        <w:numPr>
          <w:ilvl w:val="0"/>
          <w:numId w:val="2"/>
        </w:numPr>
        <w:spacing w:after="0" w:line="240" w:lineRule="auto"/>
        <w:jc w:val="both"/>
        <w:rPr>
          <w:rFonts w:ascii="Book Antiqua" w:hAnsi="Book Antiqua" w:cs="Times New Roman"/>
          <w:b/>
          <w:bCs/>
          <w:sz w:val="24"/>
          <w:szCs w:val="24"/>
        </w:rPr>
      </w:pPr>
      <w:r>
        <w:rPr>
          <w:rFonts w:ascii="Book Antiqua" w:hAnsi="Book Antiqua" w:cs="Times New Roman"/>
          <w:b/>
          <w:bCs/>
          <w:sz w:val="24"/>
          <w:szCs w:val="24"/>
        </w:rPr>
        <w:t xml:space="preserve">CONFLICTO DE INTERESES </w:t>
      </w:r>
    </w:p>
    <w:p w14:paraId="06D9204A" w14:textId="77777777" w:rsidR="00D665E8" w:rsidRPr="00D665E8" w:rsidRDefault="00D665E8" w:rsidP="00D665E8">
      <w:pPr>
        <w:pStyle w:val="Prrafodelista"/>
        <w:shd w:val="clear" w:color="auto" w:fill="FFFFFF"/>
        <w:spacing w:after="0" w:line="276" w:lineRule="auto"/>
        <w:ind w:right="193"/>
        <w:jc w:val="both"/>
        <w:rPr>
          <w:rFonts w:ascii="Book Antiqua" w:hAnsi="Book Antiqua"/>
          <w:b/>
          <w:bCs/>
          <w:sz w:val="24"/>
          <w:szCs w:val="24"/>
        </w:rPr>
      </w:pPr>
    </w:p>
    <w:p w14:paraId="7A50B7B4" w14:textId="77777777" w:rsidR="00D665E8" w:rsidRPr="00EC201D" w:rsidRDefault="00D665E8" w:rsidP="00D665E8">
      <w:pPr>
        <w:shd w:val="clear" w:color="auto" w:fill="FFFFFF"/>
        <w:spacing w:after="0"/>
        <w:ind w:right="193"/>
        <w:jc w:val="both"/>
        <w:rPr>
          <w:rFonts w:ascii="Book Antiqua" w:hAnsi="Book Antiqua"/>
          <w:bCs/>
          <w:sz w:val="24"/>
          <w:szCs w:val="24"/>
        </w:rPr>
      </w:pPr>
      <w:r w:rsidRPr="00EC201D">
        <w:rPr>
          <w:rFonts w:ascii="Book Antiqua" w:hAnsi="Book Antiqua"/>
          <w:bCs/>
          <w:sz w:val="24"/>
          <w:szCs w:val="24"/>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05A478B8" w14:textId="77777777" w:rsidR="00D665E8" w:rsidRPr="00EC201D" w:rsidRDefault="00D665E8" w:rsidP="00D665E8">
      <w:pPr>
        <w:shd w:val="clear" w:color="auto" w:fill="FFFFFF"/>
        <w:spacing w:after="0"/>
        <w:ind w:right="193"/>
        <w:jc w:val="both"/>
        <w:rPr>
          <w:rFonts w:ascii="Book Antiqua" w:hAnsi="Book Antiqua"/>
          <w:bCs/>
          <w:sz w:val="24"/>
          <w:szCs w:val="24"/>
        </w:rPr>
      </w:pPr>
      <w:r w:rsidRPr="00EC201D">
        <w:rPr>
          <w:rFonts w:ascii="Book Antiqua" w:hAnsi="Book Antiqua"/>
          <w:bCs/>
          <w:sz w:val="24"/>
          <w:szCs w:val="24"/>
        </w:rPr>
        <w:t xml:space="preserve"> </w:t>
      </w:r>
    </w:p>
    <w:p w14:paraId="11B7D5EE" w14:textId="7916E0A5" w:rsidR="00D665E8" w:rsidRPr="00EC201D" w:rsidRDefault="00D665E8" w:rsidP="00D665E8">
      <w:pPr>
        <w:shd w:val="clear" w:color="auto" w:fill="FFFFFF"/>
        <w:spacing w:after="0"/>
        <w:ind w:right="193"/>
        <w:jc w:val="both"/>
        <w:rPr>
          <w:rFonts w:ascii="Book Antiqua" w:hAnsi="Book Antiqua"/>
          <w:bCs/>
          <w:sz w:val="24"/>
          <w:szCs w:val="24"/>
        </w:rPr>
      </w:pPr>
      <w:r w:rsidRPr="00EC201D">
        <w:rPr>
          <w:rFonts w:ascii="Book Antiqua" w:hAnsi="Book Antiqua"/>
          <w:bCs/>
          <w:sz w:val="24"/>
          <w:szCs w:val="24"/>
        </w:rPr>
        <w:t xml:space="preserve">Se estima que el presente proyecto de ley </w:t>
      </w:r>
      <w:r w:rsidR="00EC201D" w:rsidRPr="00EC201D">
        <w:rPr>
          <w:rFonts w:ascii="Book Antiqua" w:hAnsi="Book Antiqua"/>
          <w:bCs/>
          <w:sz w:val="24"/>
          <w:szCs w:val="24"/>
        </w:rPr>
        <w:t xml:space="preserve">orgánica </w:t>
      </w:r>
      <w:r w:rsidRPr="00EC201D">
        <w:rPr>
          <w:rFonts w:ascii="Book Antiqua" w:hAnsi="Book Antiqua"/>
          <w:bCs/>
          <w:sz w:val="24"/>
          <w:szCs w:val="24"/>
        </w:rPr>
        <w:t xml:space="preserve">no genera conflictos de interés, puesto que no crearía beneficios particulares, actuales y directos a los congresistas, a su cónyuge, compañero o compañera permanente, o parientes dentro del </w:t>
      </w:r>
      <w:r w:rsidRPr="00EC201D">
        <w:rPr>
          <w:rFonts w:ascii="Book Antiqua" w:hAnsi="Book Antiqua"/>
          <w:bCs/>
          <w:sz w:val="24"/>
          <w:szCs w:val="24"/>
        </w:rPr>
        <w:lastRenderedPageBreak/>
        <w:t>segundo grado de consanguinidad, segundo de afinidad o primero civil, conforme a lo dispuesto en la ley.</w:t>
      </w:r>
    </w:p>
    <w:p w14:paraId="5496CFF2" w14:textId="77777777" w:rsidR="00D665E8" w:rsidRPr="00EC201D" w:rsidRDefault="00D665E8" w:rsidP="00D665E8">
      <w:pPr>
        <w:shd w:val="clear" w:color="auto" w:fill="FFFFFF"/>
        <w:spacing w:after="0"/>
        <w:ind w:right="193"/>
        <w:jc w:val="both"/>
        <w:rPr>
          <w:rFonts w:ascii="Book Antiqua" w:hAnsi="Book Antiqua"/>
          <w:bCs/>
          <w:sz w:val="24"/>
          <w:szCs w:val="24"/>
        </w:rPr>
      </w:pPr>
      <w:r w:rsidRPr="00EC201D">
        <w:rPr>
          <w:rFonts w:ascii="Book Antiqua" w:hAnsi="Book Antiqua"/>
          <w:bCs/>
          <w:sz w:val="24"/>
          <w:szCs w:val="24"/>
        </w:rPr>
        <w:t xml:space="preserve"> </w:t>
      </w:r>
    </w:p>
    <w:p w14:paraId="78A78C7D" w14:textId="645B7C82" w:rsidR="00D665E8" w:rsidRPr="00D552A5" w:rsidRDefault="00D665E8" w:rsidP="00D665E8">
      <w:pPr>
        <w:shd w:val="clear" w:color="auto" w:fill="FFFFFF"/>
        <w:spacing w:after="0"/>
        <w:ind w:right="193"/>
        <w:jc w:val="both"/>
        <w:rPr>
          <w:rFonts w:ascii="Book Antiqua" w:hAnsi="Book Antiqua"/>
          <w:bCs/>
          <w:sz w:val="24"/>
          <w:szCs w:val="24"/>
        </w:rPr>
      </w:pPr>
      <w:r w:rsidRPr="00EC201D">
        <w:rPr>
          <w:rFonts w:ascii="Book Antiqua" w:hAnsi="Book Antiqua"/>
          <w:bCs/>
          <w:sz w:val="24"/>
          <w:szCs w:val="24"/>
        </w:rPr>
        <w:t xml:space="preserve">La descripción de los posibles conflictos de interés que se puedan presentar sobre el trámite del presente proyecto de ley </w:t>
      </w:r>
      <w:r w:rsidR="00EC201D" w:rsidRPr="00EC201D">
        <w:rPr>
          <w:rFonts w:ascii="Book Antiqua" w:hAnsi="Book Antiqua"/>
          <w:bCs/>
          <w:sz w:val="24"/>
          <w:szCs w:val="24"/>
        </w:rPr>
        <w:t xml:space="preserve">orgánica </w:t>
      </w:r>
      <w:r w:rsidRPr="00EC201D">
        <w:rPr>
          <w:rFonts w:ascii="Book Antiqua" w:hAnsi="Book Antiqua"/>
          <w:bCs/>
          <w:sz w:val="24"/>
          <w:szCs w:val="24"/>
        </w:rPr>
        <w:t>no exime del deber del Congresista de identificar causales adicionales que pueda encontrar durante el trámite del proyecto.</w:t>
      </w:r>
    </w:p>
    <w:p w14:paraId="4EC59451" w14:textId="77777777" w:rsidR="00D665E8" w:rsidRDefault="00D665E8" w:rsidP="00D665E8">
      <w:pPr>
        <w:shd w:val="clear" w:color="auto" w:fill="FFFFFF"/>
        <w:spacing w:after="0"/>
        <w:ind w:right="193"/>
        <w:jc w:val="both"/>
        <w:rPr>
          <w:rFonts w:ascii="Book Antiqua" w:hAnsi="Book Antiqua"/>
          <w:b/>
          <w:bCs/>
          <w:sz w:val="24"/>
          <w:szCs w:val="24"/>
        </w:rPr>
      </w:pPr>
    </w:p>
    <w:p w14:paraId="69AEB61B" w14:textId="20D1A036" w:rsidR="00D552A5" w:rsidRPr="00D552A5" w:rsidRDefault="00D552A5" w:rsidP="00D552A5">
      <w:pPr>
        <w:pStyle w:val="Prrafodelista"/>
        <w:numPr>
          <w:ilvl w:val="0"/>
          <w:numId w:val="2"/>
        </w:numPr>
        <w:spacing w:after="0" w:line="240" w:lineRule="auto"/>
        <w:jc w:val="both"/>
        <w:rPr>
          <w:rFonts w:ascii="Book Antiqua" w:hAnsi="Book Antiqua" w:cs="Times New Roman"/>
          <w:b/>
          <w:bCs/>
          <w:sz w:val="24"/>
          <w:szCs w:val="24"/>
        </w:rPr>
      </w:pPr>
      <w:r>
        <w:rPr>
          <w:rFonts w:ascii="Book Antiqua" w:hAnsi="Book Antiqua"/>
          <w:b/>
          <w:bCs/>
          <w:sz w:val="24"/>
          <w:szCs w:val="24"/>
        </w:rPr>
        <w:t xml:space="preserve">PROPOSICION  </w:t>
      </w:r>
    </w:p>
    <w:p w14:paraId="4AF32CD3" w14:textId="77777777" w:rsidR="00D665E8" w:rsidRPr="004766B7" w:rsidRDefault="00D665E8" w:rsidP="00D665E8">
      <w:pPr>
        <w:pStyle w:val="Prrafodelista"/>
        <w:shd w:val="clear" w:color="auto" w:fill="FFFFFF"/>
        <w:spacing w:after="0"/>
        <w:ind w:right="193"/>
        <w:jc w:val="both"/>
        <w:rPr>
          <w:rFonts w:ascii="Book Antiqua" w:hAnsi="Book Antiqua"/>
          <w:b/>
          <w:bCs/>
          <w:sz w:val="24"/>
          <w:szCs w:val="24"/>
        </w:rPr>
      </w:pPr>
    </w:p>
    <w:p w14:paraId="50513A7F" w14:textId="62A55A1F" w:rsidR="00285938" w:rsidRDefault="00285938" w:rsidP="00D552A5">
      <w:pPr>
        <w:spacing w:after="0" w:line="240" w:lineRule="auto"/>
        <w:jc w:val="both"/>
        <w:rPr>
          <w:rFonts w:ascii="Book Antiqua" w:hAnsi="Book Antiqua" w:cs="Times New Roman"/>
          <w:b/>
          <w:bCs/>
          <w:sz w:val="24"/>
          <w:szCs w:val="24"/>
        </w:rPr>
      </w:pPr>
      <w:r w:rsidRPr="00285938">
        <w:rPr>
          <w:rFonts w:ascii="Book Antiqua" w:eastAsia="Montserrat" w:hAnsi="Book Antiqua" w:cs="Montserrat"/>
          <w:color w:val="000000"/>
          <w:sz w:val="24"/>
          <w:szCs w:val="24"/>
        </w:rPr>
        <w:t xml:space="preserve">En atención a las consideraciones anteriormente expuestas, se presenta </w:t>
      </w:r>
      <w:r w:rsidRPr="00285938">
        <w:rPr>
          <w:rFonts w:ascii="Book Antiqua" w:eastAsia="Montserrat" w:hAnsi="Book Antiqua" w:cs="Montserrat"/>
          <w:b/>
          <w:color w:val="000000"/>
          <w:sz w:val="24"/>
          <w:szCs w:val="24"/>
        </w:rPr>
        <w:t xml:space="preserve">PONENCIA POSITIVA con modificaciones </w:t>
      </w:r>
      <w:r w:rsidRPr="00285938">
        <w:rPr>
          <w:rFonts w:ascii="Book Antiqua" w:eastAsia="Montserrat" w:hAnsi="Book Antiqua" w:cs="Montserrat"/>
          <w:color w:val="000000"/>
          <w:sz w:val="24"/>
          <w:szCs w:val="24"/>
        </w:rPr>
        <w:t xml:space="preserve">y se solicita respetuosamente a los integrantes de la Comisión Primera Constitucional </w:t>
      </w:r>
      <w:r w:rsidR="008F0E19" w:rsidRPr="00285938">
        <w:rPr>
          <w:rFonts w:ascii="Book Antiqua" w:eastAsia="Montserrat" w:hAnsi="Book Antiqua" w:cs="Montserrat"/>
          <w:color w:val="000000"/>
          <w:sz w:val="24"/>
          <w:szCs w:val="24"/>
        </w:rPr>
        <w:t>Permanente de</w:t>
      </w:r>
      <w:r w:rsidRPr="00285938">
        <w:rPr>
          <w:rFonts w:ascii="Book Antiqua" w:eastAsia="Montserrat" w:hAnsi="Book Antiqua" w:cs="Montserrat"/>
          <w:color w:val="000000"/>
          <w:sz w:val="24"/>
          <w:szCs w:val="24"/>
        </w:rPr>
        <w:t xml:space="preserve"> la Cámara de Representantes dar primer debate al P</w:t>
      </w:r>
      <w:r w:rsidR="00D665E8" w:rsidRPr="00285938">
        <w:rPr>
          <w:rFonts w:ascii="Book Antiqua" w:hAnsi="Book Antiqua"/>
          <w:sz w:val="24"/>
          <w:szCs w:val="24"/>
        </w:rPr>
        <w:t xml:space="preserve">royecto de Ley </w:t>
      </w:r>
      <w:r w:rsidRPr="00285938">
        <w:rPr>
          <w:rFonts w:ascii="Book Antiqua" w:hAnsi="Book Antiqua"/>
          <w:sz w:val="24"/>
          <w:szCs w:val="24"/>
        </w:rPr>
        <w:t xml:space="preserve">Orgánica No. 155 de </w:t>
      </w:r>
      <w:r w:rsidR="00D665E8" w:rsidRPr="00285938">
        <w:rPr>
          <w:rFonts w:ascii="Book Antiqua" w:hAnsi="Book Antiqua"/>
          <w:sz w:val="24"/>
          <w:szCs w:val="24"/>
        </w:rPr>
        <w:t xml:space="preserve">2022 Cámara </w:t>
      </w:r>
      <w:r w:rsidRPr="00285938">
        <w:rPr>
          <w:rFonts w:ascii="Book Antiqua" w:hAnsi="Book Antiqua" w:cs="Times New Roman"/>
          <w:b/>
          <w:bCs/>
          <w:sz w:val="24"/>
          <w:szCs w:val="24"/>
        </w:rPr>
        <w:t>“</w:t>
      </w:r>
      <w:r w:rsidRPr="00285938">
        <w:rPr>
          <w:rFonts w:ascii="Book Antiqua" w:hAnsi="Book Antiqua" w:cs="Times New Roman"/>
          <w:b/>
          <w:bCs/>
          <w:i/>
          <w:iCs/>
          <w:sz w:val="24"/>
          <w:szCs w:val="24"/>
        </w:rPr>
        <w:t>Por medio de la cual se designa a las autoridades territoriales para que definan sobre la realización de las prácticas taurinas en su territorio y se dictan otras disposiciones.</w:t>
      </w:r>
      <w:r w:rsidRPr="00285938">
        <w:rPr>
          <w:rFonts w:ascii="Book Antiqua" w:hAnsi="Book Antiqua" w:cs="Times New Roman"/>
          <w:b/>
          <w:bCs/>
          <w:sz w:val="24"/>
          <w:szCs w:val="24"/>
        </w:rPr>
        <w:t>”</w:t>
      </w:r>
    </w:p>
    <w:p w14:paraId="3272E97B" w14:textId="77777777" w:rsidR="0017449A" w:rsidRDefault="0017449A" w:rsidP="00D552A5">
      <w:pPr>
        <w:spacing w:after="0" w:line="240" w:lineRule="auto"/>
        <w:jc w:val="both"/>
        <w:rPr>
          <w:rFonts w:ascii="Book Antiqua" w:hAnsi="Book Antiqua" w:cs="Times New Roman"/>
          <w:b/>
          <w:bCs/>
          <w:sz w:val="24"/>
          <w:szCs w:val="24"/>
        </w:rPr>
      </w:pPr>
    </w:p>
    <w:p w14:paraId="1B353C6A" w14:textId="77777777" w:rsidR="00D552A5" w:rsidRPr="00D552A5" w:rsidRDefault="00D552A5" w:rsidP="00D552A5">
      <w:pPr>
        <w:spacing w:after="0" w:line="240" w:lineRule="auto"/>
        <w:jc w:val="both"/>
        <w:rPr>
          <w:rFonts w:ascii="Book Antiqua" w:hAnsi="Book Antiqua" w:cs="Times New Roman"/>
          <w:b/>
          <w:bCs/>
          <w:sz w:val="24"/>
          <w:szCs w:val="24"/>
        </w:rPr>
      </w:pPr>
    </w:p>
    <w:p w14:paraId="6D815D03" w14:textId="7D73D7CA" w:rsidR="006938E4" w:rsidRDefault="00285938" w:rsidP="00543100">
      <w:pPr>
        <w:jc w:val="both"/>
        <w:rPr>
          <w:rFonts w:ascii="Book Antiqua" w:hAnsi="Book Antiqua"/>
          <w:color w:val="000000" w:themeColor="text1"/>
          <w:sz w:val="24"/>
          <w:szCs w:val="24"/>
        </w:rPr>
      </w:pPr>
      <w:r>
        <w:rPr>
          <w:rFonts w:ascii="Book Antiqua" w:hAnsi="Book Antiqua"/>
          <w:color w:val="000000" w:themeColor="text1"/>
          <w:sz w:val="24"/>
          <w:szCs w:val="24"/>
        </w:rPr>
        <w:t xml:space="preserve">Cordialmente, </w:t>
      </w:r>
    </w:p>
    <w:p w14:paraId="602A64DB" w14:textId="556C04CB" w:rsidR="0017449A" w:rsidRDefault="0017449A" w:rsidP="00543100">
      <w:pPr>
        <w:jc w:val="both"/>
        <w:rPr>
          <w:rFonts w:ascii="Book Antiqua" w:hAnsi="Book Antiqua"/>
          <w:color w:val="000000" w:themeColor="text1"/>
          <w:sz w:val="24"/>
          <w:szCs w:val="24"/>
        </w:rPr>
      </w:pPr>
    </w:p>
    <w:p w14:paraId="2C00B46B" w14:textId="77777777" w:rsidR="0017449A" w:rsidRPr="00543100" w:rsidRDefault="0017449A" w:rsidP="00543100">
      <w:pPr>
        <w:jc w:val="both"/>
        <w:rPr>
          <w:rFonts w:ascii="Book Antiqua" w:hAnsi="Book Antiqua"/>
          <w:color w:val="000000" w:themeColor="text1"/>
          <w:sz w:val="24"/>
          <w:szCs w:val="24"/>
        </w:rPr>
      </w:pPr>
    </w:p>
    <w:p w14:paraId="42213DDB" w14:textId="77777777" w:rsidR="00D96004" w:rsidRPr="000433D1" w:rsidRDefault="00D96004" w:rsidP="00D96004">
      <w:pPr>
        <w:spacing w:after="0" w:line="240" w:lineRule="auto"/>
        <w:jc w:val="both"/>
        <w:rPr>
          <w:rFonts w:ascii="Times New Roman" w:hAnsi="Times New Roman" w:cs="Times New Roman"/>
          <w:b/>
          <w:sz w:val="24"/>
          <w:szCs w:val="24"/>
        </w:rPr>
      </w:pPr>
      <w:r w:rsidRPr="000433D1">
        <w:rPr>
          <w:rFonts w:ascii="Times New Roman" w:hAnsi="Times New Roman" w:cs="Times New Roman"/>
          <w:b/>
          <w:sz w:val="24"/>
          <w:szCs w:val="24"/>
        </w:rPr>
        <w:t>JUAN DANIEL PEÑUELA CALVACHE</w:t>
      </w:r>
    </w:p>
    <w:p w14:paraId="104EE3C3" w14:textId="77777777" w:rsidR="00D96004" w:rsidRPr="000433D1" w:rsidRDefault="00D96004" w:rsidP="00D96004">
      <w:pPr>
        <w:spacing w:after="0" w:line="240" w:lineRule="auto"/>
        <w:jc w:val="both"/>
        <w:rPr>
          <w:rFonts w:ascii="Times New Roman" w:hAnsi="Times New Roman" w:cs="Times New Roman"/>
          <w:b/>
          <w:sz w:val="24"/>
          <w:szCs w:val="24"/>
        </w:rPr>
      </w:pPr>
      <w:r w:rsidRPr="000433D1">
        <w:rPr>
          <w:rFonts w:ascii="Times New Roman" w:hAnsi="Times New Roman" w:cs="Times New Roman"/>
          <w:b/>
          <w:sz w:val="24"/>
          <w:szCs w:val="24"/>
        </w:rPr>
        <w:t xml:space="preserve">Representante a la Cámara </w:t>
      </w:r>
    </w:p>
    <w:p w14:paraId="196426BF" w14:textId="32162A17" w:rsidR="00C77B7F" w:rsidRDefault="00D96004" w:rsidP="00A52113">
      <w:pPr>
        <w:spacing w:after="0" w:line="240" w:lineRule="auto"/>
        <w:jc w:val="both"/>
        <w:rPr>
          <w:rFonts w:ascii="Times New Roman" w:hAnsi="Times New Roman" w:cs="Times New Roman"/>
          <w:b/>
          <w:sz w:val="24"/>
          <w:szCs w:val="24"/>
        </w:rPr>
      </w:pPr>
      <w:r w:rsidRPr="000433D1">
        <w:rPr>
          <w:rFonts w:ascii="Times New Roman" w:hAnsi="Times New Roman" w:cs="Times New Roman"/>
          <w:b/>
          <w:sz w:val="24"/>
          <w:szCs w:val="24"/>
        </w:rPr>
        <w:t>Departamento de Nariñ</w:t>
      </w:r>
      <w:r w:rsidR="00543100">
        <w:rPr>
          <w:rFonts w:ascii="Times New Roman" w:hAnsi="Times New Roman" w:cs="Times New Roman"/>
          <w:b/>
          <w:sz w:val="24"/>
          <w:szCs w:val="24"/>
        </w:rPr>
        <w:t>o</w:t>
      </w:r>
    </w:p>
    <w:p w14:paraId="17597732" w14:textId="5E3E6D8A" w:rsidR="0017449A" w:rsidRDefault="0017449A" w:rsidP="00A52113">
      <w:pPr>
        <w:spacing w:after="0" w:line="240" w:lineRule="auto"/>
        <w:jc w:val="both"/>
        <w:rPr>
          <w:rFonts w:ascii="Times New Roman" w:hAnsi="Times New Roman" w:cs="Times New Roman"/>
          <w:b/>
          <w:sz w:val="24"/>
          <w:szCs w:val="24"/>
        </w:rPr>
      </w:pPr>
    </w:p>
    <w:p w14:paraId="1BFD1FB3" w14:textId="58B5E454" w:rsidR="0017449A" w:rsidRDefault="0017449A" w:rsidP="00A52113">
      <w:pPr>
        <w:spacing w:after="0" w:line="240" w:lineRule="auto"/>
        <w:jc w:val="both"/>
        <w:rPr>
          <w:rFonts w:ascii="Times New Roman" w:hAnsi="Times New Roman" w:cs="Times New Roman"/>
          <w:b/>
          <w:sz w:val="24"/>
          <w:szCs w:val="24"/>
        </w:rPr>
      </w:pPr>
    </w:p>
    <w:p w14:paraId="55053D3C" w14:textId="450B1504" w:rsidR="0017449A" w:rsidRDefault="0017449A" w:rsidP="00A52113">
      <w:pPr>
        <w:spacing w:after="0" w:line="240" w:lineRule="auto"/>
        <w:jc w:val="both"/>
        <w:rPr>
          <w:rFonts w:ascii="Times New Roman" w:hAnsi="Times New Roman" w:cs="Times New Roman"/>
          <w:b/>
          <w:sz w:val="24"/>
          <w:szCs w:val="24"/>
        </w:rPr>
      </w:pPr>
    </w:p>
    <w:p w14:paraId="55321BB6" w14:textId="7E5DE61C" w:rsidR="0017449A" w:rsidRDefault="0017449A" w:rsidP="00A52113">
      <w:pPr>
        <w:spacing w:after="0" w:line="240" w:lineRule="auto"/>
        <w:jc w:val="both"/>
        <w:rPr>
          <w:rFonts w:ascii="Times New Roman" w:hAnsi="Times New Roman" w:cs="Times New Roman"/>
          <w:b/>
          <w:sz w:val="24"/>
          <w:szCs w:val="24"/>
        </w:rPr>
      </w:pPr>
    </w:p>
    <w:p w14:paraId="7351CDEF" w14:textId="24563D24" w:rsidR="0017449A" w:rsidRDefault="0017449A" w:rsidP="00A52113">
      <w:pPr>
        <w:spacing w:after="0" w:line="240" w:lineRule="auto"/>
        <w:jc w:val="both"/>
        <w:rPr>
          <w:rFonts w:ascii="Times New Roman" w:hAnsi="Times New Roman" w:cs="Times New Roman"/>
          <w:b/>
          <w:sz w:val="24"/>
          <w:szCs w:val="24"/>
        </w:rPr>
      </w:pPr>
    </w:p>
    <w:p w14:paraId="1B745689" w14:textId="5928920C" w:rsidR="0017449A" w:rsidRDefault="0017449A" w:rsidP="00A52113">
      <w:pPr>
        <w:spacing w:after="0" w:line="240" w:lineRule="auto"/>
        <w:jc w:val="both"/>
        <w:rPr>
          <w:rFonts w:ascii="Times New Roman" w:hAnsi="Times New Roman" w:cs="Times New Roman"/>
          <w:b/>
          <w:sz w:val="24"/>
          <w:szCs w:val="24"/>
        </w:rPr>
      </w:pPr>
    </w:p>
    <w:p w14:paraId="0477ACC1" w14:textId="7E2B2C25" w:rsidR="0017449A" w:rsidRDefault="0017449A" w:rsidP="00A52113">
      <w:pPr>
        <w:spacing w:after="0" w:line="240" w:lineRule="auto"/>
        <w:jc w:val="both"/>
        <w:rPr>
          <w:rFonts w:ascii="Times New Roman" w:hAnsi="Times New Roman" w:cs="Times New Roman"/>
          <w:b/>
          <w:sz w:val="24"/>
          <w:szCs w:val="24"/>
        </w:rPr>
      </w:pPr>
    </w:p>
    <w:p w14:paraId="594984F2" w14:textId="747E1B57" w:rsidR="0017449A" w:rsidRDefault="0017449A" w:rsidP="00A52113">
      <w:pPr>
        <w:spacing w:after="0" w:line="240" w:lineRule="auto"/>
        <w:jc w:val="both"/>
        <w:rPr>
          <w:rFonts w:ascii="Times New Roman" w:hAnsi="Times New Roman" w:cs="Times New Roman"/>
          <w:b/>
          <w:sz w:val="24"/>
          <w:szCs w:val="24"/>
        </w:rPr>
      </w:pPr>
    </w:p>
    <w:p w14:paraId="24EBDA3C" w14:textId="77777777" w:rsidR="0017449A" w:rsidRPr="00543100" w:rsidRDefault="0017449A" w:rsidP="00A52113">
      <w:pPr>
        <w:spacing w:after="0" w:line="240" w:lineRule="auto"/>
        <w:jc w:val="both"/>
        <w:rPr>
          <w:rFonts w:ascii="Times New Roman" w:hAnsi="Times New Roman" w:cs="Times New Roman"/>
          <w:b/>
          <w:sz w:val="24"/>
          <w:szCs w:val="24"/>
        </w:rPr>
      </w:pPr>
    </w:p>
    <w:p w14:paraId="5700B974" w14:textId="77777777" w:rsidR="00C77B7F" w:rsidRDefault="00C77B7F" w:rsidP="00A52113">
      <w:pPr>
        <w:spacing w:after="0" w:line="240" w:lineRule="auto"/>
        <w:jc w:val="both"/>
        <w:rPr>
          <w:rFonts w:ascii="Times New Roman" w:hAnsi="Times New Roman" w:cs="Times New Roman"/>
          <w:sz w:val="24"/>
          <w:szCs w:val="24"/>
        </w:rPr>
      </w:pPr>
    </w:p>
    <w:p w14:paraId="445D0489" w14:textId="3F83D0D0" w:rsidR="00285938" w:rsidRDefault="00285938" w:rsidP="00A52113">
      <w:pPr>
        <w:spacing w:after="0" w:line="240" w:lineRule="auto"/>
        <w:jc w:val="both"/>
        <w:rPr>
          <w:rFonts w:ascii="Times New Roman" w:hAnsi="Times New Roman" w:cs="Times New Roman"/>
          <w:sz w:val="24"/>
          <w:szCs w:val="24"/>
        </w:rPr>
      </w:pPr>
    </w:p>
    <w:p w14:paraId="1E526DC6" w14:textId="0BFE9EAF" w:rsidR="00285938" w:rsidRPr="00C77B7F" w:rsidRDefault="00285938" w:rsidP="00D552A5">
      <w:pPr>
        <w:pStyle w:val="Prrafodelista"/>
        <w:numPr>
          <w:ilvl w:val="0"/>
          <w:numId w:val="2"/>
        </w:numPr>
        <w:spacing w:after="0" w:line="240" w:lineRule="auto"/>
        <w:jc w:val="both"/>
        <w:rPr>
          <w:rFonts w:ascii="Book Antiqua" w:hAnsi="Book Antiqua" w:cs="Times New Roman"/>
          <w:b/>
          <w:bCs/>
        </w:rPr>
      </w:pPr>
      <w:r w:rsidRPr="00C77B7F">
        <w:rPr>
          <w:rFonts w:ascii="Book Antiqua" w:eastAsia="Montserrat" w:hAnsi="Book Antiqua" w:cs="Montserrat"/>
          <w:b/>
          <w:color w:val="000000"/>
        </w:rPr>
        <w:lastRenderedPageBreak/>
        <w:t>TEXTO PROPUESTO PARA PRIMER DEBATE EN LA COMISIÓN PRIMERA CONSTITUCIONAL PERMANENTE DE LA CAMÁRA DE REPRESENTANTES.</w:t>
      </w:r>
    </w:p>
    <w:p w14:paraId="11787ED1" w14:textId="150490F4" w:rsidR="00285938" w:rsidRPr="00C77B7F" w:rsidRDefault="00285938" w:rsidP="00285938">
      <w:pPr>
        <w:pStyle w:val="Prrafodelista"/>
        <w:shd w:val="clear" w:color="auto" w:fill="FFFFFF"/>
        <w:spacing w:after="0" w:line="276" w:lineRule="auto"/>
        <w:ind w:right="193"/>
        <w:jc w:val="both"/>
        <w:rPr>
          <w:rFonts w:ascii="Book Antiqua" w:hAnsi="Book Antiqua"/>
          <w:b/>
          <w:bCs/>
        </w:rPr>
      </w:pPr>
    </w:p>
    <w:p w14:paraId="68B72B13" w14:textId="63E2AF39" w:rsidR="00285938" w:rsidRPr="00C77B7F" w:rsidRDefault="00285938" w:rsidP="00285938">
      <w:pPr>
        <w:spacing w:after="0" w:line="240" w:lineRule="auto"/>
        <w:jc w:val="center"/>
        <w:rPr>
          <w:rFonts w:ascii="Book Antiqua" w:hAnsi="Book Antiqua" w:cs="Times New Roman"/>
          <w:b/>
          <w:bCs/>
        </w:rPr>
      </w:pPr>
      <w:r w:rsidRPr="00C77B7F">
        <w:rPr>
          <w:rFonts w:ascii="Book Antiqua" w:hAnsi="Book Antiqua" w:cs="Times New Roman"/>
          <w:b/>
          <w:bCs/>
        </w:rPr>
        <w:t xml:space="preserve">Proyecto de Ley Orgánica N </w:t>
      </w:r>
      <w:r w:rsidR="008F0E19" w:rsidRPr="00C77B7F">
        <w:rPr>
          <w:rFonts w:ascii="Book Antiqua" w:hAnsi="Book Antiqua" w:cs="Times New Roman"/>
          <w:b/>
          <w:bCs/>
        </w:rPr>
        <w:t>155 de</w:t>
      </w:r>
      <w:r w:rsidR="008F0E19">
        <w:rPr>
          <w:rFonts w:ascii="Book Antiqua" w:hAnsi="Book Antiqua" w:cs="Times New Roman"/>
          <w:b/>
          <w:bCs/>
        </w:rPr>
        <w:t xml:space="preserve"> 2022</w:t>
      </w:r>
    </w:p>
    <w:p w14:paraId="55FC6825" w14:textId="77777777" w:rsidR="00285938" w:rsidRPr="00C77B7F" w:rsidRDefault="00285938" w:rsidP="00285938">
      <w:pPr>
        <w:spacing w:after="0" w:line="240" w:lineRule="auto"/>
        <w:jc w:val="center"/>
        <w:rPr>
          <w:rFonts w:ascii="Book Antiqua" w:hAnsi="Book Antiqua" w:cs="Times New Roman"/>
          <w:b/>
          <w:bCs/>
        </w:rPr>
      </w:pPr>
      <w:r w:rsidRPr="00C77B7F">
        <w:rPr>
          <w:rFonts w:ascii="Book Antiqua" w:hAnsi="Book Antiqua" w:cs="Times New Roman"/>
          <w:b/>
          <w:bCs/>
        </w:rPr>
        <w:t>Cámara de Representantes</w:t>
      </w:r>
    </w:p>
    <w:p w14:paraId="4F343107" w14:textId="77777777" w:rsidR="00285938" w:rsidRPr="00C77B7F" w:rsidRDefault="00285938" w:rsidP="00285938">
      <w:pPr>
        <w:spacing w:after="0" w:line="240" w:lineRule="auto"/>
        <w:jc w:val="center"/>
        <w:rPr>
          <w:rFonts w:ascii="Book Antiqua" w:hAnsi="Book Antiqua" w:cs="Times New Roman"/>
          <w:b/>
          <w:bCs/>
        </w:rPr>
      </w:pPr>
    </w:p>
    <w:p w14:paraId="2049AE5D" w14:textId="77777777" w:rsidR="00285938" w:rsidRPr="00C77B7F" w:rsidRDefault="00285938" w:rsidP="00285938">
      <w:pPr>
        <w:spacing w:after="0" w:line="240" w:lineRule="auto"/>
        <w:jc w:val="center"/>
        <w:rPr>
          <w:rFonts w:ascii="Book Antiqua" w:hAnsi="Book Antiqua" w:cs="Times New Roman"/>
          <w:b/>
          <w:bCs/>
        </w:rPr>
      </w:pPr>
      <w:r w:rsidRPr="00C77B7F">
        <w:rPr>
          <w:rFonts w:ascii="Book Antiqua" w:hAnsi="Book Antiqua" w:cs="Times New Roman"/>
          <w:b/>
          <w:bCs/>
        </w:rPr>
        <w:t>“Por medio de la cual se designa a las autoridades territoriales para que definan sobre la realización de las prácticas taurinas en su territorio y se dictan otras disposiciones”</w:t>
      </w:r>
    </w:p>
    <w:p w14:paraId="45B2F0F0" w14:textId="77777777" w:rsidR="00285938" w:rsidRPr="00C77B7F" w:rsidRDefault="00285938" w:rsidP="00285938">
      <w:pPr>
        <w:spacing w:after="0" w:line="240" w:lineRule="auto"/>
        <w:jc w:val="center"/>
        <w:rPr>
          <w:rFonts w:ascii="Book Antiqua" w:hAnsi="Book Antiqua" w:cs="Times New Roman"/>
          <w:b/>
          <w:bCs/>
        </w:rPr>
      </w:pPr>
    </w:p>
    <w:p w14:paraId="7CD20824" w14:textId="77777777" w:rsidR="00285938" w:rsidRPr="00C77B7F" w:rsidRDefault="00285938" w:rsidP="00285938">
      <w:pPr>
        <w:spacing w:after="0" w:line="240" w:lineRule="auto"/>
        <w:jc w:val="center"/>
        <w:rPr>
          <w:rFonts w:ascii="Book Antiqua" w:hAnsi="Book Antiqua" w:cs="Times New Roman"/>
          <w:b/>
          <w:bCs/>
        </w:rPr>
      </w:pPr>
      <w:r w:rsidRPr="00C77B7F">
        <w:rPr>
          <w:rFonts w:ascii="Book Antiqua" w:hAnsi="Book Antiqua" w:cs="Times New Roman"/>
          <w:b/>
          <w:bCs/>
        </w:rPr>
        <w:t xml:space="preserve">El Congreso de Colombia </w:t>
      </w:r>
    </w:p>
    <w:p w14:paraId="208F4EEE" w14:textId="77777777" w:rsidR="00285938" w:rsidRPr="00C77B7F" w:rsidRDefault="00285938" w:rsidP="00285938">
      <w:pPr>
        <w:spacing w:after="0" w:line="240" w:lineRule="auto"/>
        <w:jc w:val="center"/>
        <w:rPr>
          <w:rFonts w:ascii="Book Antiqua" w:hAnsi="Book Antiqua" w:cs="Times New Roman"/>
          <w:b/>
          <w:bCs/>
        </w:rPr>
      </w:pPr>
    </w:p>
    <w:p w14:paraId="34D3D20F" w14:textId="51D77C5E" w:rsidR="00285938" w:rsidRPr="00C77B7F" w:rsidRDefault="00285938" w:rsidP="00285938">
      <w:pPr>
        <w:spacing w:after="0" w:line="240" w:lineRule="auto"/>
        <w:jc w:val="center"/>
        <w:rPr>
          <w:rFonts w:ascii="Book Antiqua" w:hAnsi="Book Antiqua" w:cs="Times New Roman"/>
          <w:b/>
          <w:bCs/>
        </w:rPr>
      </w:pPr>
      <w:r w:rsidRPr="00C77B7F">
        <w:rPr>
          <w:rFonts w:ascii="Book Antiqua" w:hAnsi="Book Antiqua" w:cs="Times New Roman"/>
          <w:b/>
          <w:bCs/>
        </w:rPr>
        <w:t>DECRETA:</w:t>
      </w:r>
    </w:p>
    <w:p w14:paraId="52CB0B32" w14:textId="52797054" w:rsidR="00C77B7F" w:rsidRPr="00C77B7F" w:rsidRDefault="00C77B7F" w:rsidP="00285938">
      <w:pPr>
        <w:spacing w:after="0" w:line="240" w:lineRule="auto"/>
        <w:jc w:val="center"/>
        <w:rPr>
          <w:rFonts w:ascii="Book Antiqua" w:hAnsi="Book Antiqua" w:cs="Times New Roman"/>
          <w:b/>
          <w:bCs/>
        </w:rPr>
      </w:pPr>
    </w:p>
    <w:p w14:paraId="17D72753" w14:textId="77777777" w:rsidR="00C77B7F" w:rsidRPr="00C77B7F" w:rsidRDefault="00C77B7F" w:rsidP="00285938">
      <w:pPr>
        <w:spacing w:after="0" w:line="240" w:lineRule="auto"/>
        <w:jc w:val="center"/>
        <w:rPr>
          <w:rFonts w:ascii="Book Antiqua" w:hAnsi="Book Antiqua" w:cs="Times New Roman"/>
          <w:b/>
          <w:bCs/>
        </w:rPr>
      </w:pPr>
    </w:p>
    <w:p w14:paraId="38B3FFFA" w14:textId="77777777" w:rsidR="0017449A" w:rsidRPr="00543100" w:rsidRDefault="0017449A" w:rsidP="0017449A">
      <w:pPr>
        <w:jc w:val="both"/>
        <w:rPr>
          <w:rFonts w:ascii="Book Antiqua" w:hAnsi="Book Antiqua" w:cs="Times New Roman"/>
        </w:rPr>
      </w:pPr>
      <w:r w:rsidRPr="00543100">
        <w:rPr>
          <w:rFonts w:ascii="Book Antiqua" w:hAnsi="Book Antiqua" w:cs="Times New Roman"/>
          <w:b/>
          <w:bCs/>
        </w:rPr>
        <w:t>Artículo 1°</w:t>
      </w:r>
      <w:r w:rsidRPr="00543100">
        <w:rPr>
          <w:rFonts w:ascii="Book Antiqua" w:hAnsi="Book Antiqua" w:cs="Times New Roman"/>
        </w:rPr>
        <w:t>. Modifíquese el artículo 1° de la ley 916 de 2004, el cual quedará así:</w:t>
      </w:r>
    </w:p>
    <w:p w14:paraId="6C6FEDF6" w14:textId="77777777" w:rsidR="0017449A" w:rsidRPr="00543100" w:rsidRDefault="0017449A" w:rsidP="0017449A">
      <w:pPr>
        <w:jc w:val="both"/>
        <w:rPr>
          <w:rFonts w:ascii="Book Antiqua" w:hAnsi="Book Antiqua" w:cs="Times New Roman"/>
        </w:rPr>
      </w:pPr>
    </w:p>
    <w:p w14:paraId="1D08F5E6" w14:textId="77777777" w:rsidR="0017449A" w:rsidRPr="00543100" w:rsidRDefault="0017449A" w:rsidP="0017449A">
      <w:pPr>
        <w:ind w:left="705"/>
        <w:jc w:val="both"/>
        <w:rPr>
          <w:rFonts w:ascii="Book Antiqua" w:hAnsi="Book Antiqua" w:cs="Times New Roman"/>
        </w:rPr>
      </w:pPr>
      <w:r w:rsidRPr="00543100">
        <w:rPr>
          <w:rFonts w:ascii="Book Antiqua" w:hAnsi="Book Antiqua" w:cs="Times New Roman"/>
        </w:rPr>
        <w:t>“</w:t>
      </w:r>
      <w:r w:rsidRPr="008F0E19">
        <w:rPr>
          <w:rFonts w:ascii="Book Antiqua" w:hAnsi="Book Antiqua" w:cs="Times New Roman"/>
          <w:i/>
          <w:iCs/>
        </w:rPr>
        <w:t>Artículo 1°. El presente reglamento tiene por objeto la regulación de la preparación, organización y desarrollo de los espectáculos taurinos y de las actividades relacionadas con los mismos, en los municipios donde estas actividades sean expresiones de arraigo cultural, sin menoscabar la garantía de los derechos e intereses de la comunidad y del bienestar y protección animal</w:t>
      </w:r>
      <w:r w:rsidRPr="008F0E19">
        <w:rPr>
          <w:rFonts w:ascii="Book Antiqua" w:hAnsi="Book Antiqua" w:cs="Times New Roman"/>
          <w:b/>
          <w:bCs/>
          <w:i/>
          <w:iCs/>
        </w:rPr>
        <w:t>”.</w:t>
      </w:r>
    </w:p>
    <w:p w14:paraId="30E6B363" w14:textId="210DD930" w:rsidR="00285938" w:rsidRPr="00C77B7F" w:rsidRDefault="00285938" w:rsidP="00285938">
      <w:pPr>
        <w:spacing w:after="0" w:line="240" w:lineRule="auto"/>
        <w:jc w:val="both"/>
        <w:rPr>
          <w:rFonts w:ascii="Book Antiqua" w:hAnsi="Book Antiqua" w:cs="Times New Roman"/>
          <w:b/>
          <w:bCs/>
        </w:rPr>
      </w:pPr>
    </w:p>
    <w:p w14:paraId="7A10F21D" w14:textId="77777777" w:rsidR="0017449A" w:rsidRPr="0017449A" w:rsidRDefault="0017449A" w:rsidP="0017449A">
      <w:pPr>
        <w:spacing w:after="0" w:line="240" w:lineRule="auto"/>
        <w:jc w:val="both"/>
        <w:rPr>
          <w:rFonts w:ascii="Book Antiqua" w:hAnsi="Book Antiqua" w:cs="Times New Roman"/>
        </w:rPr>
      </w:pPr>
      <w:r w:rsidRPr="0017449A">
        <w:rPr>
          <w:rFonts w:ascii="Book Antiqua" w:hAnsi="Book Antiqua" w:cs="Times New Roman"/>
          <w:b/>
          <w:bCs/>
        </w:rPr>
        <w:t xml:space="preserve">Artículo 2°. </w:t>
      </w:r>
      <w:r w:rsidRPr="0017449A">
        <w:rPr>
          <w:rFonts w:ascii="Book Antiqua" w:hAnsi="Book Antiqua" w:cs="Times New Roman"/>
        </w:rPr>
        <w:t>Modifíquese el artículo 2 de la ley 916 de 2004, el cual quedará</w:t>
      </w:r>
    </w:p>
    <w:p w14:paraId="77254E93" w14:textId="77777777" w:rsidR="0017449A" w:rsidRPr="0017449A" w:rsidRDefault="0017449A" w:rsidP="0017449A">
      <w:pPr>
        <w:spacing w:after="0" w:line="240" w:lineRule="auto"/>
        <w:jc w:val="both"/>
        <w:rPr>
          <w:rFonts w:ascii="Book Antiqua" w:hAnsi="Book Antiqua" w:cs="Times New Roman"/>
        </w:rPr>
      </w:pPr>
      <w:r w:rsidRPr="0017449A">
        <w:rPr>
          <w:rFonts w:ascii="Book Antiqua" w:hAnsi="Book Antiqua" w:cs="Times New Roman"/>
        </w:rPr>
        <w:t>así:</w:t>
      </w:r>
    </w:p>
    <w:p w14:paraId="6D4457C2" w14:textId="77777777" w:rsidR="0017449A" w:rsidRPr="0017449A" w:rsidRDefault="0017449A" w:rsidP="0017449A">
      <w:pPr>
        <w:spacing w:after="0" w:line="240" w:lineRule="auto"/>
        <w:ind w:left="708"/>
        <w:jc w:val="both"/>
        <w:rPr>
          <w:rFonts w:ascii="Book Antiqua" w:hAnsi="Book Antiqua" w:cs="Times New Roman"/>
          <w:i/>
          <w:iCs/>
        </w:rPr>
      </w:pPr>
      <w:r w:rsidRPr="0017449A">
        <w:rPr>
          <w:rFonts w:ascii="Book Antiqua" w:hAnsi="Book Antiqua" w:cs="Times New Roman"/>
          <w:i/>
          <w:iCs/>
        </w:rPr>
        <w:t>“Artículo 2°. Lo previsto en el presente reglamento será de aplicación general en todo el territorio nacional. Los entes territoriales, por intermedio de los Concejos municipales o distritales, o a través de los mecanismos de participación ciudadana previstos en la Constitución y en la ley, decidirán si los espectáculos taurinos serán considerados como una manifestación de una tradición regular, periódica e ininterrumpida dentro de su territorio.</w:t>
      </w:r>
    </w:p>
    <w:p w14:paraId="396E01A6" w14:textId="77777777" w:rsidR="0017449A" w:rsidRPr="0017449A" w:rsidRDefault="0017449A" w:rsidP="0017449A">
      <w:pPr>
        <w:spacing w:after="0" w:line="240" w:lineRule="auto"/>
        <w:ind w:left="708"/>
        <w:jc w:val="both"/>
        <w:rPr>
          <w:rFonts w:ascii="Book Antiqua" w:hAnsi="Book Antiqua" w:cs="Times New Roman"/>
          <w:i/>
          <w:iCs/>
        </w:rPr>
      </w:pPr>
    </w:p>
    <w:p w14:paraId="4C42126C" w14:textId="77777777" w:rsidR="0017449A" w:rsidRPr="0017449A" w:rsidRDefault="0017449A" w:rsidP="0017449A">
      <w:pPr>
        <w:spacing w:after="0" w:line="240" w:lineRule="auto"/>
        <w:ind w:left="708"/>
        <w:jc w:val="both"/>
        <w:rPr>
          <w:rFonts w:ascii="Book Antiqua" w:hAnsi="Book Antiqua" w:cs="Times New Roman"/>
          <w:i/>
          <w:iCs/>
        </w:rPr>
      </w:pPr>
      <w:r w:rsidRPr="0017449A">
        <w:rPr>
          <w:rFonts w:ascii="Book Antiqua" w:hAnsi="Book Antiqua" w:cs="Times New Roman"/>
          <w:i/>
          <w:iCs/>
        </w:rPr>
        <w:t>Parágrafo 1. La deliberación y adopción de la decisión referida en el presente artículo deberá incluir a todos los actores que intervienen dentro de la realización del espectáculo taurino conforme las reglas de participación previstas para tal efecto.</w:t>
      </w:r>
    </w:p>
    <w:p w14:paraId="1DC9A043" w14:textId="77777777" w:rsidR="0017449A" w:rsidRPr="0017449A" w:rsidRDefault="0017449A" w:rsidP="0017449A">
      <w:pPr>
        <w:spacing w:after="0" w:line="240" w:lineRule="auto"/>
        <w:ind w:left="708"/>
        <w:jc w:val="both"/>
        <w:rPr>
          <w:rFonts w:ascii="Book Antiqua" w:hAnsi="Book Antiqua" w:cs="Times New Roman"/>
          <w:i/>
          <w:iCs/>
        </w:rPr>
      </w:pPr>
    </w:p>
    <w:p w14:paraId="14EBB5A1" w14:textId="2F6DDF99" w:rsidR="00C77B7F" w:rsidRDefault="0017449A" w:rsidP="0017449A">
      <w:pPr>
        <w:spacing w:after="0" w:line="240" w:lineRule="auto"/>
        <w:ind w:left="708"/>
        <w:jc w:val="both"/>
        <w:rPr>
          <w:rFonts w:ascii="Book Antiqua" w:hAnsi="Book Antiqua" w:cs="Times New Roman"/>
          <w:i/>
          <w:iCs/>
        </w:rPr>
      </w:pPr>
      <w:r w:rsidRPr="0017449A">
        <w:rPr>
          <w:rFonts w:ascii="Book Antiqua" w:hAnsi="Book Antiqua" w:cs="Times New Roman"/>
          <w:i/>
          <w:iCs/>
        </w:rPr>
        <w:t>Parágrafo 2. La decisión adoptada se hará efectiva para su obligatorio cumplimiento por el respectivo alcalde municipal o distrital”.</w:t>
      </w:r>
    </w:p>
    <w:p w14:paraId="2527C0E8" w14:textId="77777777" w:rsidR="0017449A" w:rsidRPr="0017449A" w:rsidRDefault="0017449A" w:rsidP="0017449A">
      <w:pPr>
        <w:spacing w:after="0" w:line="240" w:lineRule="auto"/>
        <w:ind w:left="708"/>
        <w:jc w:val="both"/>
        <w:rPr>
          <w:rFonts w:ascii="Book Antiqua" w:hAnsi="Book Antiqua" w:cs="Times New Roman"/>
          <w:i/>
          <w:iCs/>
        </w:rPr>
      </w:pPr>
    </w:p>
    <w:p w14:paraId="4B241182" w14:textId="5029AF8E" w:rsidR="0017449A" w:rsidRPr="0017449A" w:rsidRDefault="0017449A" w:rsidP="0017449A">
      <w:pPr>
        <w:jc w:val="both"/>
        <w:rPr>
          <w:rFonts w:ascii="Book Antiqua" w:hAnsi="Book Antiqua" w:cs="Times New Roman"/>
        </w:rPr>
      </w:pPr>
      <w:r w:rsidRPr="0017449A">
        <w:rPr>
          <w:rFonts w:ascii="Book Antiqua" w:hAnsi="Book Antiqua" w:cs="Times New Roman"/>
          <w:b/>
          <w:bCs/>
        </w:rPr>
        <w:t xml:space="preserve">Artículo 3°. </w:t>
      </w:r>
      <w:r w:rsidRPr="0017449A">
        <w:rPr>
          <w:rFonts w:ascii="Book Antiqua" w:hAnsi="Book Antiqua" w:cs="Times New Roman"/>
        </w:rPr>
        <w:t xml:space="preserve">Si producto de la decisión de que trata el artículo anterior una entidad territorial niega que los espectáculos taurinos sean considerados como una manifestación de una tradición regular, periódica e ininterrumpida dentro de su territorio, tendrán que adoptarse </w:t>
      </w:r>
      <w:r w:rsidRPr="0017449A">
        <w:rPr>
          <w:rFonts w:ascii="Book Antiqua" w:hAnsi="Book Antiqua" w:cs="Times New Roman"/>
        </w:rPr>
        <w:lastRenderedPageBreak/>
        <w:t>todas las medidas necesarias para garantizar a las personas que se dediquen a las actividades económicas relacionadas  y derivadas de las prácticas taurinas la continuidad del derecho al trabajo y el acceso a actividades culturales y deportivas.</w:t>
      </w:r>
    </w:p>
    <w:p w14:paraId="2A9EC156" w14:textId="01205356" w:rsidR="0017449A" w:rsidRPr="0017449A" w:rsidRDefault="0017449A" w:rsidP="0017449A">
      <w:pPr>
        <w:jc w:val="both"/>
        <w:rPr>
          <w:rFonts w:ascii="Book Antiqua" w:hAnsi="Book Antiqua" w:cs="Times New Roman"/>
        </w:rPr>
      </w:pPr>
      <w:r w:rsidRPr="0017449A">
        <w:rPr>
          <w:rFonts w:ascii="Book Antiqua" w:hAnsi="Book Antiqua" w:cs="Times New Roman"/>
          <w:b/>
          <w:bCs/>
        </w:rPr>
        <w:t xml:space="preserve">Parágrafo 1. </w:t>
      </w:r>
      <w:r w:rsidRPr="0017449A">
        <w:rPr>
          <w:rFonts w:ascii="Book Antiqua" w:hAnsi="Book Antiqua" w:cs="Times New Roman"/>
        </w:rPr>
        <w:t xml:space="preserve">El Gobierno Nacional a través del Ministerio del Trabajo, Ministerio de Comercio, Industria y Turismo y el Ministerio del Interior en el marco de sus competencias y en coordinación con las entidades territoriales, garantizando la participación de los sectores que tengan intereses,  tendrán un plazo de seis (6) meses contados a partir de la expedición de la presente ley para formular un Plan de Adaptación Laboral con el cual garantizan  programas efectivos de reconversión económica para las personas que demuestren que sus ingresos y sustento económico principal, se derivan de las actividades del del espectáculo taurino. </w:t>
      </w:r>
    </w:p>
    <w:p w14:paraId="6F3E2D70" w14:textId="7C7F46D4" w:rsidR="0017449A" w:rsidRPr="0017449A" w:rsidRDefault="0017449A" w:rsidP="0017449A">
      <w:pPr>
        <w:jc w:val="both"/>
        <w:rPr>
          <w:rFonts w:ascii="Book Antiqua" w:hAnsi="Book Antiqua" w:cs="Times New Roman"/>
        </w:rPr>
      </w:pPr>
      <w:r w:rsidRPr="0017449A">
        <w:rPr>
          <w:rFonts w:ascii="Book Antiqua" w:hAnsi="Book Antiqua" w:cs="Times New Roman"/>
          <w:b/>
          <w:bCs/>
        </w:rPr>
        <w:t xml:space="preserve">Parágrafo 2. </w:t>
      </w:r>
      <w:r w:rsidRPr="0017449A">
        <w:rPr>
          <w:rFonts w:ascii="Book Antiqua" w:hAnsi="Book Antiqua" w:cs="Times New Roman"/>
        </w:rPr>
        <w:t>El Gobierno Nacional a través del Ministerio de Cultura y el Ministerio de Deporte, en el marco de sus competencias y en coordinación con las entidades territoriales, garantizando la participación de los que tengan intereses, tendrá</w:t>
      </w:r>
      <w:r w:rsidR="008F0E19">
        <w:rPr>
          <w:rFonts w:ascii="Book Antiqua" w:hAnsi="Book Antiqua" w:cs="Times New Roman"/>
        </w:rPr>
        <w:t>n</w:t>
      </w:r>
      <w:r w:rsidRPr="0017449A">
        <w:rPr>
          <w:rFonts w:ascii="Book Antiqua" w:hAnsi="Book Antiqua" w:cs="Times New Roman"/>
        </w:rPr>
        <w:t xml:space="preserve"> un plazo de seis (6) meses contados a partir de la expedición de la presente ley para formular un plan de acción con lineamientos para la promoción de distintas prácticas culturales y deportivas en las respectivas entidades territoriales que negaron que los espectáculos taurinos sean considerados como una manifestación de una tradición regular, periódica e ininterrumpida.</w:t>
      </w:r>
    </w:p>
    <w:p w14:paraId="3F620BDC" w14:textId="33E37EF0" w:rsidR="0017449A" w:rsidRPr="0017449A" w:rsidRDefault="0017449A" w:rsidP="0017449A">
      <w:pPr>
        <w:jc w:val="both"/>
        <w:rPr>
          <w:rFonts w:ascii="Book Antiqua" w:hAnsi="Book Antiqua" w:cs="Times New Roman"/>
        </w:rPr>
      </w:pPr>
      <w:r w:rsidRPr="0017449A">
        <w:rPr>
          <w:rFonts w:ascii="Book Antiqua" w:hAnsi="Book Antiqua" w:cs="Times New Roman"/>
          <w:b/>
          <w:bCs/>
        </w:rPr>
        <w:t xml:space="preserve">Parágrafo 3. </w:t>
      </w:r>
      <w:r w:rsidRPr="0017449A">
        <w:rPr>
          <w:rFonts w:ascii="Book Antiqua" w:hAnsi="Book Antiqua" w:cs="Times New Roman"/>
        </w:rPr>
        <w:t xml:space="preserve">La implementación del Plan de Adaptación Laboral y </w:t>
      </w:r>
      <w:r w:rsidR="0042078B">
        <w:rPr>
          <w:rFonts w:ascii="Book Antiqua" w:hAnsi="Book Antiqua" w:cs="Times New Roman"/>
        </w:rPr>
        <w:t xml:space="preserve">el </w:t>
      </w:r>
      <w:r w:rsidRPr="0017449A">
        <w:rPr>
          <w:rFonts w:ascii="Book Antiqua" w:hAnsi="Book Antiqua" w:cs="Times New Roman"/>
        </w:rPr>
        <w:t xml:space="preserve">Plan de Acción para la promoción de distintas prácticas culturales y deportivas de que tratan los parágrafos 1 y 2, también estarán a cargo de las entidades que participaron en su elaboración, respectivamente. </w:t>
      </w:r>
    </w:p>
    <w:p w14:paraId="2FB8BCCD" w14:textId="77777777" w:rsidR="00C77B7F" w:rsidRPr="00C77B7F" w:rsidRDefault="00C77B7F" w:rsidP="00C77B7F">
      <w:pPr>
        <w:jc w:val="both"/>
        <w:rPr>
          <w:rFonts w:ascii="Book Antiqua" w:hAnsi="Book Antiqua" w:cs="Times New Roman"/>
          <w:b/>
          <w:bCs/>
        </w:rPr>
      </w:pPr>
      <w:r w:rsidRPr="00C77B7F">
        <w:rPr>
          <w:rFonts w:ascii="Book Antiqua" w:hAnsi="Book Antiqua" w:cs="Times New Roman"/>
          <w:b/>
          <w:bCs/>
        </w:rPr>
        <w:t xml:space="preserve">Artículo 4°. </w:t>
      </w:r>
      <w:r w:rsidRPr="00C77B7F">
        <w:rPr>
          <w:rFonts w:ascii="Book Antiqua" w:hAnsi="Book Antiqua" w:cs="Times New Roman"/>
        </w:rPr>
        <w:t>La presente ley rige a partir de su expedición y deroga todas las disposiciones que le sean contrarias.</w:t>
      </w:r>
    </w:p>
    <w:p w14:paraId="3F25FF1C" w14:textId="77777777" w:rsidR="00C77B7F" w:rsidRPr="001F1FB0" w:rsidRDefault="00C77B7F" w:rsidP="00C77B7F">
      <w:pPr>
        <w:jc w:val="both"/>
        <w:rPr>
          <w:rFonts w:ascii="Book Antiqua" w:hAnsi="Book Antiqua" w:cs="Times New Roman"/>
          <w:b/>
          <w:bCs/>
          <w:sz w:val="24"/>
          <w:szCs w:val="24"/>
          <w:u w:val="single"/>
        </w:rPr>
      </w:pPr>
    </w:p>
    <w:p w14:paraId="6AD8E1EF" w14:textId="77777777" w:rsidR="00C77B7F" w:rsidRDefault="00C77B7F" w:rsidP="00C77B7F">
      <w:pPr>
        <w:spacing w:after="0" w:line="240" w:lineRule="auto"/>
        <w:jc w:val="both"/>
        <w:rPr>
          <w:rFonts w:ascii="Times New Roman" w:hAnsi="Times New Roman" w:cs="Times New Roman"/>
          <w:sz w:val="24"/>
          <w:szCs w:val="24"/>
        </w:rPr>
      </w:pPr>
    </w:p>
    <w:p w14:paraId="100D50DD" w14:textId="69E3D76B" w:rsidR="00285938" w:rsidRDefault="00285938" w:rsidP="00285938">
      <w:pPr>
        <w:spacing w:after="0" w:line="240" w:lineRule="auto"/>
        <w:jc w:val="both"/>
        <w:rPr>
          <w:rFonts w:ascii="Times New Roman" w:hAnsi="Times New Roman" w:cs="Times New Roman"/>
          <w:sz w:val="24"/>
          <w:szCs w:val="24"/>
        </w:rPr>
      </w:pPr>
    </w:p>
    <w:p w14:paraId="04F5B112" w14:textId="77777777" w:rsidR="00285938" w:rsidRPr="0096421A" w:rsidRDefault="00285938" w:rsidP="00285938">
      <w:pPr>
        <w:jc w:val="both"/>
        <w:rPr>
          <w:rFonts w:ascii="Book Antiqua" w:hAnsi="Book Antiqua"/>
          <w:color w:val="000000" w:themeColor="text1"/>
          <w:sz w:val="24"/>
          <w:szCs w:val="24"/>
        </w:rPr>
      </w:pPr>
      <w:r>
        <w:rPr>
          <w:rFonts w:ascii="Book Antiqua" w:hAnsi="Book Antiqua"/>
          <w:color w:val="000000" w:themeColor="text1"/>
          <w:sz w:val="24"/>
          <w:szCs w:val="24"/>
        </w:rPr>
        <w:t xml:space="preserve">Cordialmente, </w:t>
      </w:r>
    </w:p>
    <w:p w14:paraId="6096C06D" w14:textId="77777777" w:rsidR="00285938" w:rsidRPr="000433D1" w:rsidRDefault="00285938" w:rsidP="00285938">
      <w:pPr>
        <w:spacing w:after="0" w:line="240" w:lineRule="auto"/>
        <w:jc w:val="both"/>
        <w:rPr>
          <w:rFonts w:ascii="Times New Roman" w:hAnsi="Times New Roman" w:cs="Times New Roman"/>
          <w:sz w:val="24"/>
          <w:szCs w:val="24"/>
        </w:rPr>
      </w:pPr>
    </w:p>
    <w:p w14:paraId="1260FAFB" w14:textId="088CC1E7" w:rsidR="00285938" w:rsidRDefault="00285938" w:rsidP="00285938">
      <w:pPr>
        <w:spacing w:after="0" w:line="240" w:lineRule="auto"/>
        <w:jc w:val="both"/>
        <w:rPr>
          <w:rFonts w:ascii="Times New Roman" w:hAnsi="Times New Roman" w:cs="Times New Roman"/>
          <w:sz w:val="24"/>
          <w:szCs w:val="24"/>
        </w:rPr>
      </w:pPr>
    </w:p>
    <w:p w14:paraId="1AF773A4" w14:textId="221C2150" w:rsidR="00285938" w:rsidRDefault="00285938" w:rsidP="00285938">
      <w:pPr>
        <w:spacing w:after="0" w:line="240" w:lineRule="auto"/>
        <w:jc w:val="both"/>
        <w:rPr>
          <w:rFonts w:ascii="Times New Roman" w:hAnsi="Times New Roman" w:cs="Times New Roman"/>
          <w:sz w:val="24"/>
          <w:szCs w:val="24"/>
        </w:rPr>
      </w:pPr>
    </w:p>
    <w:p w14:paraId="2C36BF86" w14:textId="77777777" w:rsidR="00285938" w:rsidRPr="000433D1" w:rsidRDefault="00285938" w:rsidP="00285938">
      <w:pPr>
        <w:spacing w:after="0" w:line="240" w:lineRule="auto"/>
        <w:jc w:val="both"/>
        <w:rPr>
          <w:rFonts w:ascii="Times New Roman" w:hAnsi="Times New Roman" w:cs="Times New Roman"/>
          <w:sz w:val="24"/>
          <w:szCs w:val="24"/>
        </w:rPr>
      </w:pPr>
    </w:p>
    <w:p w14:paraId="2D891972" w14:textId="77777777" w:rsidR="00285938" w:rsidRPr="000433D1" w:rsidRDefault="00285938" w:rsidP="00285938">
      <w:pPr>
        <w:spacing w:after="0" w:line="240" w:lineRule="auto"/>
        <w:jc w:val="both"/>
        <w:rPr>
          <w:rFonts w:ascii="Times New Roman" w:hAnsi="Times New Roman" w:cs="Times New Roman"/>
          <w:b/>
          <w:sz w:val="24"/>
          <w:szCs w:val="24"/>
        </w:rPr>
      </w:pPr>
      <w:r w:rsidRPr="000433D1">
        <w:rPr>
          <w:rFonts w:ascii="Times New Roman" w:hAnsi="Times New Roman" w:cs="Times New Roman"/>
          <w:b/>
          <w:sz w:val="24"/>
          <w:szCs w:val="24"/>
        </w:rPr>
        <w:t>JUAN DANIEL PEÑUELA CALVACHE</w:t>
      </w:r>
    </w:p>
    <w:p w14:paraId="7FA1EEF8" w14:textId="77777777" w:rsidR="00285938" w:rsidRPr="000433D1" w:rsidRDefault="00285938" w:rsidP="00285938">
      <w:pPr>
        <w:spacing w:after="0" w:line="240" w:lineRule="auto"/>
        <w:jc w:val="both"/>
        <w:rPr>
          <w:rFonts w:ascii="Times New Roman" w:hAnsi="Times New Roman" w:cs="Times New Roman"/>
          <w:b/>
          <w:sz w:val="24"/>
          <w:szCs w:val="24"/>
        </w:rPr>
      </w:pPr>
      <w:r w:rsidRPr="000433D1">
        <w:rPr>
          <w:rFonts w:ascii="Times New Roman" w:hAnsi="Times New Roman" w:cs="Times New Roman"/>
          <w:b/>
          <w:sz w:val="24"/>
          <w:szCs w:val="24"/>
        </w:rPr>
        <w:t xml:space="preserve">Representante a la Cámara </w:t>
      </w:r>
    </w:p>
    <w:p w14:paraId="64CC195B" w14:textId="202B971A" w:rsidR="00285938" w:rsidRPr="0017449A" w:rsidRDefault="00285938" w:rsidP="00285938">
      <w:pPr>
        <w:spacing w:after="0" w:line="240" w:lineRule="auto"/>
        <w:jc w:val="both"/>
        <w:rPr>
          <w:rFonts w:ascii="Times New Roman" w:hAnsi="Times New Roman" w:cs="Times New Roman"/>
          <w:b/>
          <w:sz w:val="24"/>
          <w:szCs w:val="24"/>
        </w:rPr>
      </w:pPr>
      <w:r w:rsidRPr="000433D1">
        <w:rPr>
          <w:rFonts w:ascii="Times New Roman" w:hAnsi="Times New Roman" w:cs="Times New Roman"/>
          <w:b/>
          <w:sz w:val="24"/>
          <w:szCs w:val="24"/>
        </w:rPr>
        <w:t>Departamento de Nariño</w:t>
      </w:r>
    </w:p>
    <w:sectPr w:rsidR="00285938" w:rsidRPr="0017449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8258" w14:textId="77777777" w:rsidR="00A9117A" w:rsidRDefault="00A9117A" w:rsidP="00587801">
      <w:pPr>
        <w:spacing w:after="0" w:line="240" w:lineRule="auto"/>
      </w:pPr>
      <w:r>
        <w:separator/>
      </w:r>
    </w:p>
  </w:endnote>
  <w:endnote w:type="continuationSeparator" w:id="0">
    <w:p w14:paraId="03754BFE" w14:textId="77777777" w:rsidR="00A9117A" w:rsidRDefault="00A9117A" w:rsidP="0058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10104"/>
      <w:docPartObj>
        <w:docPartGallery w:val="Page Numbers (Bottom of Page)"/>
        <w:docPartUnique/>
      </w:docPartObj>
    </w:sdtPr>
    <w:sdtEndPr/>
    <w:sdtContent>
      <w:p w14:paraId="038C9390" w14:textId="46DC661F" w:rsidR="001A7B20" w:rsidRDefault="001A7B20">
        <w:pPr>
          <w:pStyle w:val="Piedepgina"/>
          <w:jc w:val="right"/>
        </w:pPr>
        <w:r>
          <w:fldChar w:fldCharType="begin"/>
        </w:r>
        <w:r>
          <w:instrText>PAGE   \* MERGEFORMAT</w:instrText>
        </w:r>
        <w:r>
          <w:fldChar w:fldCharType="separate"/>
        </w:r>
        <w:r w:rsidR="008138A8" w:rsidRPr="008138A8">
          <w:rPr>
            <w:noProof/>
            <w:lang w:val="es-ES"/>
          </w:rPr>
          <w:t>2</w:t>
        </w:r>
        <w:r>
          <w:fldChar w:fldCharType="end"/>
        </w:r>
      </w:p>
    </w:sdtContent>
  </w:sdt>
  <w:p w14:paraId="0ADCC7E4" w14:textId="77777777" w:rsidR="006938E4" w:rsidRPr="006C7944" w:rsidRDefault="006938E4" w:rsidP="006938E4">
    <w:pPr>
      <w:pStyle w:val="Piedepgina"/>
      <w:jc w:val="both"/>
      <w:rPr>
        <w:b/>
      </w:rPr>
    </w:pPr>
    <w:r>
      <w:rPr>
        <w:b/>
        <w:noProof/>
        <w:lang w:eastAsia="es-CO"/>
      </w:rPr>
      <w:drawing>
        <wp:anchor distT="0" distB="0" distL="114300" distR="114300" simplePos="0" relativeHeight="251661312" behindDoc="0" locked="0" layoutInCell="1" allowOverlap="1" wp14:anchorId="5DD659BA" wp14:editId="033D1CCD">
          <wp:simplePos x="0" y="0"/>
          <wp:positionH relativeFrom="margin">
            <wp:posOffset>4924425</wp:posOffset>
          </wp:positionH>
          <wp:positionV relativeFrom="paragraph">
            <wp:posOffset>73025</wp:posOffset>
          </wp:positionV>
          <wp:extent cx="1388745" cy="1194435"/>
          <wp:effectExtent l="0" t="0" r="1905" b="5715"/>
          <wp:wrapThrough wrapText="bothSides">
            <wp:wrapPolygon edited="0">
              <wp:start x="0" y="0"/>
              <wp:lineTo x="0" y="21359"/>
              <wp:lineTo x="21333" y="21359"/>
              <wp:lineTo x="21333" y="0"/>
              <wp:lineTo x="0" y="0"/>
            </wp:wrapPolygon>
          </wp:wrapThrough>
          <wp:docPr id="3" name="2 Imagen" descr="partido conserv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do conservador.png"/>
                  <pic:cNvPicPr/>
                </pic:nvPicPr>
                <pic:blipFill>
                  <a:blip r:embed="rId1"/>
                  <a:stretch>
                    <a:fillRect/>
                  </a:stretch>
                </pic:blipFill>
                <pic:spPr>
                  <a:xfrm>
                    <a:off x="0" y="0"/>
                    <a:ext cx="1388745" cy="1194435"/>
                  </a:xfrm>
                  <a:prstGeom prst="rect">
                    <a:avLst/>
                  </a:prstGeom>
                </pic:spPr>
              </pic:pic>
            </a:graphicData>
          </a:graphic>
          <wp14:sizeRelH relativeFrom="margin">
            <wp14:pctWidth>0</wp14:pctWidth>
          </wp14:sizeRelH>
          <wp14:sizeRelV relativeFrom="margin">
            <wp14:pctHeight>0</wp14:pctHeight>
          </wp14:sizeRelV>
        </wp:anchor>
      </w:drawing>
    </w:r>
    <w:r>
      <w:rPr>
        <w:b/>
      </w:rPr>
      <w:t>Pasto:                                                    Bogotá:</w:t>
    </w:r>
  </w:p>
  <w:p w14:paraId="52ED2661" w14:textId="77777777" w:rsidR="006938E4" w:rsidRDefault="006938E4" w:rsidP="006938E4">
    <w:pPr>
      <w:pStyle w:val="Piedepgina"/>
      <w:jc w:val="both"/>
    </w:pPr>
    <w:r>
      <w:t>Edificio Net 31                                     Edificio nuevo del Congreso</w:t>
    </w:r>
    <w:r>
      <w:tab/>
      <w:t xml:space="preserve">   </w:t>
    </w:r>
  </w:p>
  <w:p w14:paraId="6EE64C0D" w14:textId="77777777" w:rsidR="006938E4" w:rsidRDefault="006938E4" w:rsidP="006938E4">
    <w:pPr>
      <w:pStyle w:val="Piedepgina"/>
    </w:pPr>
    <w:r>
      <w:t xml:space="preserve">Calle 19 no. 31C-12 </w:t>
    </w:r>
    <w:proofErr w:type="spellStart"/>
    <w:r>
      <w:t>Of</w:t>
    </w:r>
    <w:proofErr w:type="spellEnd"/>
    <w:r>
      <w:t xml:space="preserve">. 401              </w:t>
    </w:r>
    <w:proofErr w:type="spellStart"/>
    <w:r w:rsidRPr="00D72EFF">
      <w:t>Cra</w:t>
    </w:r>
    <w:proofErr w:type="spellEnd"/>
    <w:r w:rsidRPr="00D72EFF">
      <w:t xml:space="preserve"> 7 no. 8-68</w:t>
    </w:r>
    <w:r>
      <w:t xml:space="preserve"> </w:t>
    </w:r>
    <w:proofErr w:type="spellStart"/>
    <w:r>
      <w:t>Of</w:t>
    </w:r>
    <w:proofErr w:type="spellEnd"/>
    <w:r>
      <w:t>, 315B – 316B</w:t>
    </w:r>
  </w:p>
  <w:p w14:paraId="14006F62" w14:textId="77777777" w:rsidR="006938E4" w:rsidRDefault="006938E4" w:rsidP="006938E4">
    <w:pPr>
      <w:pStyle w:val="Piedepgina"/>
    </w:pPr>
    <w:r>
      <w:t xml:space="preserve">Teléfono: 3176669407                      Teléfono: (601) 3904050 </w:t>
    </w:r>
    <w:proofErr w:type="spellStart"/>
    <w:r>
      <w:t>ext</w:t>
    </w:r>
    <w:proofErr w:type="spellEnd"/>
    <w:r>
      <w:t xml:space="preserve"> 3347-3348</w:t>
    </w:r>
  </w:p>
  <w:p w14:paraId="6FBDC25D" w14:textId="77777777" w:rsidR="006938E4" w:rsidRDefault="006938E4" w:rsidP="006938E4">
    <w:pPr>
      <w:pStyle w:val="Piedepgina"/>
    </w:pPr>
  </w:p>
  <w:p w14:paraId="062B3A07" w14:textId="77777777" w:rsidR="001A7B20" w:rsidRDefault="001A7B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7CF8" w14:textId="77777777" w:rsidR="00A9117A" w:rsidRDefault="00A9117A" w:rsidP="00587801">
      <w:pPr>
        <w:spacing w:after="0" w:line="240" w:lineRule="auto"/>
      </w:pPr>
      <w:r>
        <w:separator/>
      </w:r>
    </w:p>
  </w:footnote>
  <w:footnote w:type="continuationSeparator" w:id="0">
    <w:p w14:paraId="2C081351" w14:textId="77777777" w:rsidR="00A9117A" w:rsidRDefault="00A9117A" w:rsidP="00587801">
      <w:pPr>
        <w:spacing w:after="0" w:line="240" w:lineRule="auto"/>
      </w:pPr>
      <w:r>
        <w:continuationSeparator/>
      </w:r>
    </w:p>
  </w:footnote>
  <w:footnote w:id="1">
    <w:p w14:paraId="466C0C4C" w14:textId="77777777" w:rsidR="009A73B3" w:rsidRPr="00E36863" w:rsidRDefault="009A73B3" w:rsidP="009A73B3">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C-1192 de 2005.</w:t>
      </w:r>
    </w:p>
  </w:footnote>
  <w:footnote w:id="2">
    <w:p w14:paraId="3A209BD9" w14:textId="77777777" w:rsidR="009A73B3" w:rsidRPr="00E36863" w:rsidRDefault="009A73B3" w:rsidP="009A73B3">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Sentencias C-1192 de 2005 y C-666 de 2010.</w:t>
      </w:r>
    </w:p>
  </w:footnote>
  <w:footnote w:id="3">
    <w:p w14:paraId="10079E50" w14:textId="51C78567" w:rsidR="009A73B3" w:rsidRPr="00E36863" w:rsidRDefault="009A73B3" w:rsidP="009A73B3">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C-1192 de 2005. Al respecto, la Corte Constitucional en la sentencia C-666 de 2010 expuso que “</w:t>
      </w:r>
      <w:r w:rsidRPr="00E36863">
        <w:rPr>
          <w:rFonts w:ascii="Times New Roman" w:hAnsi="Times New Roman" w:cs="Times New Roman"/>
          <w:i/>
          <w:iCs/>
        </w:rPr>
        <w:t>El legislador en ejercicio de su libertad de configuración normativa puede llegar a prohibir las manifestaciones culturales que implican maltrato animal, si considera que debe primar el deber de protección sobre la excepcionalidad de las expresiones culturales que implican agravio a seres vivos, ya que, como la defendido esta Corporación en numerosas oportunidades, la Constitución de 1991 no es estática y la permisión contenida en un cuerpo normativo preconstitucional no puede limitar la libertad de configuración del órgano representativo de acuerdo a los cambios que se produzcan en el seno de la sociedad.</w:t>
      </w:r>
      <w:r w:rsidRPr="00E36863">
        <w:rPr>
          <w:rFonts w:ascii="Times New Roman" w:hAnsi="Times New Roman" w:cs="Times New Roman"/>
        </w:rPr>
        <w:t>”</w:t>
      </w:r>
    </w:p>
  </w:footnote>
  <w:footnote w:id="4">
    <w:p w14:paraId="2CB9A6A2" w14:textId="37ED4EFE" w:rsidR="00D1511B" w:rsidRPr="00E36863" w:rsidRDefault="00D1511B">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C-666 de 2010.</w:t>
      </w:r>
    </w:p>
  </w:footnote>
  <w:footnote w:id="5">
    <w:p w14:paraId="7D1F2694" w14:textId="7878DA7D" w:rsidR="00D1511B" w:rsidRPr="00E36863" w:rsidRDefault="00D1511B">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C-666 de 2010.</w:t>
      </w:r>
    </w:p>
  </w:footnote>
  <w:footnote w:id="6">
    <w:p w14:paraId="1E7991DB" w14:textId="0F4E2392" w:rsidR="00D1511B" w:rsidRPr="00E36863" w:rsidRDefault="00D1511B">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C-666 de 2010.</w:t>
      </w:r>
    </w:p>
  </w:footnote>
  <w:footnote w:id="7">
    <w:p w14:paraId="6868E92D" w14:textId="6A6F623B" w:rsidR="00D1511B" w:rsidRPr="00E36863" w:rsidRDefault="00D1511B">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C-666 de 2010.</w:t>
      </w:r>
    </w:p>
  </w:footnote>
  <w:footnote w:id="8">
    <w:p w14:paraId="1748945E" w14:textId="19DAA0E5" w:rsidR="00D1511B" w:rsidRPr="00E36863" w:rsidRDefault="00D1511B">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C-666 de 2010.</w:t>
      </w:r>
    </w:p>
  </w:footnote>
  <w:footnote w:id="9">
    <w:p w14:paraId="05C2C039" w14:textId="6DB9DDA6" w:rsidR="009D2C94" w:rsidRPr="00E36863" w:rsidRDefault="009D2C94">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C-666 de 2010.</w:t>
      </w:r>
    </w:p>
  </w:footnote>
  <w:footnote w:id="10">
    <w:p w14:paraId="2492FDE9" w14:textId="738276F5" w:rsidR="009D2C94" w:rsidRPr="00E36863" w:rsidRDefault="009D2C94">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C-666 de 2010.</w:t>
      </w:r>
    </w:p>
  </w:footnote>
  <w:footnote w:id="11">
    <w:p w14:paraId="6F60ED2D" w14:textId="5EF17A84" w:rsidR="009D2C94" w:rsidRPr="00E36863" w:rsidRDefault="009D2C94">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C-666 de 2010.</w:t>
      </w:r>
    </w:p>
  </w:footnote>
  <w:footnote w:id="12">
    <w:p w14:paraId="084C851C" w14:textId="231752A4" w:rsidR="009D2C94" w:rsidRPr="00E36863" w:rsidRDefault="009D2C94">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C-666 de 2010.</w:t>
      </w:r>
    </w:p>
  </w:footnote>
  <w:footnote w:id="13">
    <w:p w14:paraId="74AC3734" w14:textId="2FC0E6A3" w:rsidR="009D2C94" w:rsidRPr="00E36863" w:rsidRDefault="009D2C94" w:rsidP="000E519E">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SU-056 de 2018.</w:t>
      </w:r>
      <w:r w:rsidR="000E519E" w:rsidRPr="00E36863">
        <w:rPr>
          <w:rFonts w:ascii="Times New Roman" w:hAnsi="Times New Roman" w:cs="Times New Roman"/>
        </w:rPr>
        <w:t xml:space="preserve"> En dicha oportunidad, la Corte Constitucional estudió una acción de tutela contra la providencia judicial proferida por el Tribunal Administrativo de Cundinamarca, mediante la cual consideró que es constitucionalmente permitido que el alcalde Mayor de Bogotá, mediante consulta popular, preguntara si “</w:t>
      </w:r>
      <w:r w:rsidR="000E519E" w:rsidRPr="00E36863">
        <w:rPr>
          <w:rFonts w:ascii="Times New Roman" w:hAnsi="Times New Roman" w:cs="Times New Roman"/>
          <w:i/>
          <w:iCs/>
        </w:rPr>
        <w:t>¿Está usted de acuerdo, Si o No, con que se realicen corridas de toros y novilladas en Bogotá, Distrito Capital?</w:t>
      </w:r>
      <w:r w:rsidR="000E519E" w:rsidRPr="00E36863">
        <w:rPr>
          <w:rFonts w:ascii="Times New Roman" w:hAnsi="Times New Roman" w:cs="Times New Roman"/>
        </w:rPr>
        <w:t>”. En sede de Revisión, la Corte Constitucional consideró que se desconoció el derecho fundamental al debido proceso, debido a que, por una parte, las entidades territoriales no tienen la competencia para adoptar decisiones encaminadas a permitir o prohibir espectáculos taurinos, debido a que su competencia está estrictamente ceñida a las labores de poder de policía establecidas en la Ley; y, por la otra parte, expuso que, al no tener esta competencia las autoridades territoriales, no tienen la competencia, a su vez, para preguntarle al pueblo, por medio de la consulta popular, sobre la posibilidad de prohibir este tipo de actividades, debido a que, de acuerdo con la naturaleza del mecanismo, cualquier decisión conlleva obligatoriamente a que la administración adopte las medidas necesarias para materializar el mandato popular, lo cual, en ese asunto, no tiene la competencia para adoptar decisión administrativa o normativa alguna. En consecuencia, confirmó las decisiones de instancia que amparaban el derecho fundamental al debido proceso y, por tal motivo, dejó sin efectos la decisión proferida por el Tribunal Administrativo de Cundinamarca.</w:t>
      </w:r>
    </w:p>
  </w:footnote>
  <w:footnote w:id="14">
    <w:p w14:paraId="5D3CFBD9" w14:textId="7688E9E7" w:rsidR="00291BC8" w:rsidRPr="00E36863" w:rsidRDefault="00291BC8" w:rsidP="00291BC8">
      <w:pPr>
        <w:spacing w:after="0" w:line="240" w:lineRule="auto"/>
        <w:jc w:val="both"/>
        <w:rPr>
          <w:rFonts w:ascii="Times New Roman" w:hAnsi="Times New Roman" w:cs="Times New Roman"/>
          <w:sz w:val="20"/>
          <w:szCs w:val="20"/>
        </w:rPr>
      </w:pPr>
      <w:r w:rsidRPr="00E36863">
        <w:rPr>
          <w:rStyle w:val="Refdenotaalpie"/>
          <w:rFonts w:ascii="Times New Roman" w:hAnsi="Times New Roman" w:cs="Times New Roman"/>
        </w:rPr>
        <w:footnoteRef/>
      </w:r>
      <w:r w:rsidRPr="00E36863">
        <w:rPr>
          <w:rFonts w:ascii="Times New Roman" w:hAnsi="Times New Roman" w:cs="Times New Roman"/>
        </w:rPr>
        <w:t xml:space="preserve"> </w:t>
      </w:r>
      <w:r w:rsidRPr="00E36863">
        <w:rPr>
          <w:rFonts w:ascii="Times New Roman" w:hAnsi="Times New Roman" w:cs="Times New Roman"/>
          <w:sz w:val="20"/>
          <w:szCs w:val="20"/>
        </w:rPr>
        <w:t xml:space="preserve">En torno al </w:t>
      </w:r>
      <w:r w:rsidRPr="00E36863">
        <w:rPr>
          <w:rFonts w:ascii="Times New Roman" w:hAnsi="Times New Roman" w:cs="Times New Roman"/>
          <w:b/>
          <w:bCs/>
          <w:sz w:val="20"/>
          <w:szCs w:val="20"/>
        </w:rPr>
        <w:t>carácter nacional de la regulación taurina</w:t>
      </w:r>
      <w:r w:rsidRPr="00E36863">
        <w:rPr>
          <w:rFonts w:ascii="Times New Roman" w:hAnsi="Times New Roman" w:cs="Times New Roman"/>
          <w:sz w:val="20"/>
          <w:szCs w:val="20"/>
        </w:rPr>
        <w:t>, el artículo 2° de la Ley 916 de 2005 establece que “</w:t>
      </w:r>
      <w:r w:rsidRPr="00E36863">
        <w:rPr>
          <w:rFonts w:ascii="Times New Roman" w:hAnsi="Times New Roman" w:cs="Times New Roman"/>
          <w:i/>
          <w:iCs/>
          <w:sz w:val="20"/>
          <w:szCs w:val="20"/>
        </w:rPr>
        <w:t>Lo previsto en el presente reglamento será de aplicación general en todo el territorio nacional</w:t>
      </w:r>
      <w:r w:rsidRPr="00E36863">
        <w:rPr>
          <w:rFonts w:ascii="Times New Roman" w:hAnsi="Times New Roman" w:cs="Times New Roman"/>
          <w:sz w:val="20"/>
          <w:szCs w:val="20"/>
        </w:rPr>
        <w:t>”. Para la Corte, este enunciado es ajustado a la Constitución, puesto que responde a que “</w:t>
      </w:r>
      <w:r w:rsidRPr="00E36863">
        <w:rPr>
          <w:rFonts w:ascii="Times New Roman" w:hAnsi="Times New Roman" w:cs="Times New Roman"/>
          <w:i/>
          <w:iCs/>
          <w:sz w:val="20"/>
          <w:szCs w:val="20"/>
        </w:rPr>
        <w:t>en la mayor parte del país se practica el toreo, a través de plazas permanente o temporales, por lo cual se pretendía unificar en una gran estructura jurídica la reglamentación principal del espectáculo taurino, independientemente de que a través de actos de las autoridades locales se lleguen a reglamentar aspectos puntuales de las fiestas taurinas en cada una de nuestras regiones, obviamente dentro de los marcos establecidos por la ley.</w:t>
      </w:r>
      <w:r w:rsidR="007048DE">
        <w:rPr>
          <w:rFonts w:ascii="Times New Roman" w:hAnsi="Times New Roman" w:cs="Times New Roman"/>
          <w:sz w:val="20"/>
          <w:szCs w:val="20"/>
        </w:rPr>
        <w:t xml:space="preserve"> “</w:t>
      </w:r>
      <w:r w:rsidRPr="00E36863">
        <w:rPr>
          <w:rFonts w:ascii="Times New Roman" w:hAnsi="Times New Roman" w:cs="Times New Roman"/>
          <w:sz w:val="20"/>
          <w:szCs w:val="20"/>
        </w:rPr>
        <w:t>Sin embargo, la constitucionalidad de la norma declarada en la sentencia C-1192 de 2005 debe leerse en conjunto con los condicionamientos realizados por la sentencia C-666 de 2010. En efecto, como se enunció anteriormente, dicha providencia expuso que estas actividades deben realizarse en territorios donde sean una manifestación ininterrumpida de tradición de dicha población.</w:t>
      </w:r>
      <w:r w:rsidRPr="00E36863">
        <w:rPr>
          <w:rStyle w:val="Refdenotaalpie"/>
          <w:rFonts w:ascii="Times New Roman" w:hAnsi="Times New Roman" w:cs="Times New Roman"/>
          <w:sz w:val="20"/>
          <w:szCs w:val="20"/>
        </w:rPr>
        <w:footnoteRef/>
      </w:r>
      <w:r w:rsidRPr="00E36863">
        <w:rPr>
          <w:rFonts w:ascii="Times New Roman" w:hAnsi="Times New Roman" w:cs="Times New Roman"/>
          <w:sz w:val="20"/>
          <w:szCs w:val="20"/>
        </w:rPr>
        <w:t xml:space="preserve"> En ese sentido, a pesar de que el Reglamento Nacional Taurino tiene vocación nacional de aplicación, se debe entender que dicha regulación debe ser aplicado de manera uniforme en aquellos territorios donde la actividad taurina sea una tradición regular, periódica e ininterrumpida.</w:t>
      </w:r>
    </w:p>
  </w:footnote>
  <w:footnote w:id="15">
    <w:p w14:paraId="6A49BDD6" w14:textId="1D538E48" w:rsidR="00DD7DD5" w:rsidRPr="00E36863" w:rsidRDefault="00DD7DD5">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C-889 de 2012.</w:t>
      </w:r>
    </w:p>
  </w:footnote>
  <w:footnote w:id="16">
    <w:p w14:paraId="4E661671" w14:textId="77777777" w:rsidR="0029727B" w:rsidRPr="00E36863" w:rsidRDefault="0029727B" w:rsidP="0029727B">
      <w:pPr>
        <w:pStyle w:val="Textonotapie"/>
        <w:jc w:val="both"/>
        <w:rPr>
          <w:rFonts w:ascii="Times New Roman" w:hAnsi="Times New Roman" w:cs="Times New Roman"/>
          <w:i/>
          <w:iCs/>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C-889 de 2012. Al respecto, la Corte Constitucional consideró: “</w:t>
      </w:r>
      <w:r w:rsidRPr="00E36863">
        <w:rPr>
          <w:rFonts w:ascii="Times New Roman" w:hAnsi="Times New Roman" w:cs="Times New Roman"/>
          <w:i/>
          <w:iCs/>
        </w:rPr>
        <w:t>5.3.4.2. El Legislador ejerce respecto de la actividad taurina el poder de policía, poder que “tiene la naturaliza eminentemente normativa y refiere a aquellas disposiciones dirigidas a prever límites y condiciones para el ejercicio de actividades ciudadanas, en aras de la protección del orden público y la convivencia social. Este poder es privativo del Congreso de la República, en tanto versa sobre la limitación justificada de derechos constitucionales”. Este poder de policía solo resultará compatible con la Constitución cuando esté dirigido a satisfacer un fin constitucionalmente imperioso y, a su vez, sea imprescindible para cumplir con ese objetivo. En ejercicio del mismo, es posible imponer restricciones a los derechos constitucionales, basadas en razones encaminadas a la protección del orden público y el interés general, razones que hacen que su implementación esté radicada exclusivamente en cabeza del Congreso de la República.</w:t>
      </w:r>
    </w:p>
    <w:p w14:paraId="3D77D700" w14:textId="77777777" w:rsidR="0029727B" w:rsidRPr="00E36863" w:rsidRDefault="0029727B" w:rsidP="0029727B">
      <w:pPr>
        <w:pStyle w:val="Textonotapie"/>
        <w:jc w:val="both"/>
        <w:rPr>
          <w:rFonts w:ascii="Times New Roman" w:hAnsi="Times New Roman" w:cs="Times New Roman"/>
        </w:rPr>
      </w:pPr>
      <w:r w:rsidRPr="00E36863">
        <w:rPr>
          <w:rFonts w:ascii="Times New Roman" w:hAnsi="Times New Roman" w:cs="Times New Roman"/>
          <w:i/>
          <w:iCs/>
        </w:rPr>
        <w:t>5.3.4.3. Por otro lado, la autoridad administrativa local sólo está autorizada para ejercer la función de policía. El ejercicio de la función de policía se encamina a la concreción de los mandatos legales, adoptados con observancia del poder de policía, mediante actos administrativos; sin que las autoridades administrativas nacionales o territoriales puedan imponer restricciones más intensas que las previstas en las leyes, en virtud de la reserva material de ley frente a las limitaciones a los derechos constitucionales, en este sentido, la función de policía se ejerce atendiendo al principio de estricta legalidad.</w:t>
      </w:r>
      <w:r w:rsidRPr="00E36863">
        <w:rPr>
          <w:rFonts w:ascii="Times New Roman" w:hAnsi="Times New Roman" w:cs="Times New Roman"/>
        </w:rPr>
        <w:t>”</w:t>
      </w:r>
    </w:p>
  </w:footnote>
  <w:footnote w:id="17">
    <w:p w14:paraId="5613D176" w14:textId="3B966319" w:rsidR="00D22A45" w:rsidRPr="00E36863" w:rsidRDefault="00D22A45" w:rsidP="00D22A45">
      <w:pPr>
        <w:spacing w:after="0" w:line="240" w:lineRule="auto"/>
        <w:jc w:val="both"/>
        <w:rPr>
          <w:rFonts w:ascii="Times New Roman" w:hAnsi="Times New Roman" w:cs="Times New Roman"/>
          <w:sz w:val="20"/>
          <w:szCs w:val="20"/>
        </w:rPr>
      </w:pPr>
      <w:r w:rsidRPr="00E36863">
        <w:rPr>
          <w:rStyle w:val="Refdenotaalpie"/>
          <w:rFonts w:ascii="Times New Roman" w:hAnsi="Times New Roman" w:cs="Times New Roman"/>
          <w:sz w:val="20"/>
          <w:szCs w:val="20"/>
        </w:rPr>
        <w:footnoteRef/>
      </w:r>
      <w:r w:rsidRPr="00E36863">
        <w:rPr>
          <w:rFonts w:ascii="Times New Roman" w:hAnsi="Times New Roman" w:cs="Times New Roman"/>
          <w:sz w:val="20"/>
          <w:szCs w:val="20"/>
        </w:rPr>
        <w:t xml:space="preserve"> Respecto a la </w:t>
      </w:r>
      <w:r w:rsidRPr="00E36863">
        <w:rPr>
          <w:rFonts w:ascii="Times New Roman" w:hAnsi="Times New Roman" w:cs="Times New Roman"/>
          <w:b/>
          <w:bCs/>
          <w:i/>
          <w:iCs/>
          <w:sz w:val="20"/>
          <w:szCs w:val="20"/>
        </w:rPr>
        <w:t>calificación legal del espectáculo taurino como expresión artística</w:t>
      </w:r>
      <w:r w:rsidRPr="00E36863">
        <w:rPr>
          <w:rFonts w:ascii="Times New Roman" w:hAnsi="Times New Roman" w:cs="Times New Roman"/>
          <w:sz w:val="20"/>
          <w:szCs w:val="20"/>
        </w:rPr>
        <w:t>, la sentencia C-1192 de 2005 expuso que no corresponde al nivel territorial la calificación o descalificación de los espectáculos taurinos como una expresión cultural propia del ser humano; sino, por el contrario, esta denominación le corresponde al Congreso de la República.</w:t>
      </w:r>
      <w:r w:rsidRPr="00E36863">
        <w:rPr>
          <w:rStyle w:val="Refdenotaalpie"/>
          <w:rFonts w:ascii="Times New Roman" w:hAnsi="Times New Roman" w:cs="Times New Roman"/>
          <w:sz w:val="20"/>
          <w:szCs w:val="20"/>
        </w:rPr>
        <w:footnoteRef/>
      </w:r>
      <w:r w:rsidRPr="00E36863">
        <w:rPr>
          <w:rFonts w:ascii="Times New Roman" w:hAnsi="Times New Roman" w:cs="Times New Roman"/>
          <w:sz w:val="20"/>
          <w:szCs w:val="20"/>
        </w:rPr>
        <w:t xml:space="preserve"> En ese sentido, es inconstitucional todas aquellas expresiones normativas territoriales que modifiquen el alcance del concepto o definición de una expresión cultural realizada por el Congreso de la República.</w:t>
      </w:r>
    </w:p>
  </w:footnote>
  <w:footnote w:id="18">
    <w:p w14:paraId="61577613" w14:textId="7B65AED6" w:rsidR="00D22A45" w:rsidRPr="00E36863" w:rsidRDefault="00D22A45" w:rsidP="00D22A45">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Frente a la destinación legal de los escenarios taurinos, la sentencia C-889 de 2012 expuso que es posible la existencia de una tensión constitucional entre la potestad del Legislador frente al principio de autonomía territorial para definir el uso y la destinación de muebles definidos como plazas de toros. Por ello, a partir de la interpretación del principio de protección del patrimonio cultural, la Corte Constitucional consideró que es posible que el Congreso de la República determine el uso o la destinación de bienes de las entidades territoriales para actividades culturales y, concretamente, para los espectáculos taurinos. Sin embargo, en concreto, previó tres condiciones para ello. La primera consiste en que se debe tratar de un inmueble que participa de un criterio social arraigado; la segunda radica en que las disposiciones del legislador deben operar de manera articulada con las competencias de las autoridades territoriales; y, finalmente, la tercera conlleva que el uso o destinación de estos inmuebles en la ley deben estar intrínsecamente vinculadas con el mantenimiento de la práctica cultural reconocida.</w:t>
      </w:r>
    </w:p>
  </w:footnote>
  <w:footnote w:id="19">
    <w:p w14:paraId="48F9679B" w14:textId="5B43D35F" w:rsidR="00DD7DD5" w:rsidRPr="00E36863" w:rsidRDefault="00DD7DD5" w:rsidP="00DD7DD5">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C-889 de 2012. Al respecto, la Corte Constitucional Consideró que las entidades territoriales no tienen la posibilidad de imponer consideraciones particulares para la prohibición, salvo aquellas previstas por el ordenamiento jurídico. En segundo lugar, aseguró que la función de policía, traducida en la autorización de los espectáculos públicos, le corresponde a las autoridades administrativas; mientras que el poder de policía, entendida como aquella que prevé límites y condiciones para el ejercicio de actividades ciudadanas, le corresponde al Congreso de la República. En consecuencia, dispuso que (i) le corresponde al Legislador fijar las condiciones para el ejercicio de la actividad taurina; (</w:t>
      </w:r>
      <w:proofErr w:type="spellStart"/>
      <w:r w:rsidRPr="00E36863">
        <w:rPr>
          <w:rFonts w:ascii="Times New Roman" w:hAnsi="Times New Roman" w:cs="Times New Roman"/>
        </w:rPr>
        <w:t>ii</w:t>
      </w:r>
      <w:proofErr w:type="spellEnd"/>
      <w:r w:rsidRPr="00E36863">
        <w:rPr>
          <w:rFonts w:ascii="Times New Roman" w:hAnsi="Times New Roman" w:cs="Times New Roman"/>
        </w:rPr>
        <w:t>) las autoridades territoriales están circunscritas al poder de policía, “sin que puedan imponer motu proprio sus particulares consideraciones de conveniencia, distintas a las respaldadas por el ordenamiento”; (</w:t>
      </w:r>
      <w:proofErr w:type="spellStart"/>
      <w:r w:rsidRPr="00E36863">
        <w:rPr>
          <w:rFonts w:ascii="Times New Roman" w:hAnsi="Times New Roman" w:cs="Times New Roman"/>
        </w:rPr>
        <w:t>iii</w:t>
      </w:r>
      <w:proofErr w:type="spellEnd"/>
      <w:r w:rsidRPr="00E36863">
        <w:rPr>
          <w:rFonts w:ascii="Times New Roman" w:hAnsi="Times New Roman" w:cs="Times New Roman"/>
        </w:rPr>
        <w:t>) las autoridades territoriales están vinculadas al reconocimiento de la actividad taurina como expresión cultural; y, (</w:t>
      </w:r>
      <w:proofErr w:type="spellStart"/>
      <w:r w:rsidRPr="00E36863">
        <w:rPr>
          <w:rFonts w:ascii="Times New Roman" w:hAnsi="Times New Roman" w:cs="Times New Roman"/>
        </w:rPr>
        <w:t>iv</w:t>
      </w:r>
      <w:proofErr w:type="spellEnd"/>
      <w:r w:rsidRPr="00E36863">
        <w:rPr>
          <w:rFonts w:ascii="Times New Roman" w:hAnsi="Times New Roman" w:cs="Times New Roman"/>
        </w:rPr>
        <w:t>) debido a la eficacia del principio democrático, la prohibición de la tauromaquia debe ser discutido en el marco de los debates propios de las normas legales.</w:t>
      </w:r>
    </w:p>
  </w:footnote>
  <w:footnote w:id="20">
    <w:p w14:paraId="43F15EDA" w14:textId="7802DEC0" w:rsidR="00291BC8" w:rsidRPr="00E36863" w:rsidRDefault="00291BC8" w:rsidP="00291BC8">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Sobre la competencia para autorizar y permitir el desarrollo de los espectáculos taurinos en las jurisdicciones territoriales, la Corte Constitucional, en la sentencia C-889 de 2012, consideró que las competencias territoriales expuestas por la sentencia C-666 de 2010 no pueden comprenderse como facultades omnímodas a las autoridades administrativas municipales para que decidan por si y ante sí la prohibición de la actividad taurina. Ello por dos razones.  La primera radica en el ejercicio constitucional de la función de policía; mientras que la segunda se basa en la existencia de una previsión legal, que fue declarada exequible por la Corte Constitucional, que reconoce, bajo el cumplimiento de determinadas condiciones, la posibilidad de realizar espectáculos taurinos en determinadas zonas del país.</w:t>
      </w:r>
    </w:p>
  </w:footnote>
  <w:footnote w:id="21">
    <w:p w14:paraId="6C37DAF8" w14:textId="28F05023" w:rsidR="00045458" w:rsidRPr="00E36863" w:rsidRDefault="00045458">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C-889 de 2012.</w:t>
      </w:r>
    </w:p>
  </w:footnote>
  <w:footnote w:id="22">
    <w:p w14:paraId="258134E2" w14:textId="77777777" w:rsidR="00045458" w:rsidRPr="00E36863" w:rsidRDefault="00045458" w:rsidP="006424A7">
      <w:pPr>
        <w:pStyle w:val="Textonotapie"/>
        <w:jc w:val="both"/>
        <w:rPr>
          <w:rFonts w:ascii="Times New Roman" w:hAnsi="Times New Roman" w:cs="Times New Roman"/>
          <w:i/>
          <w:iCs/>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C-889 de 2012. Sobre este asunto, la Corte Constitucional consideró: “</w:t>
      </w:r>
      <w:r w:rsidRPr="00E36863">
        <w:rPr>
          <w:rFonts w:ascii="Times New Roman" w:hAnsi="Times New Roman" w:cs="Times New Roman"/>
          <w:i/>
          <w:iCs/>
        </w:rPr>
        <w:t xml:space="preserve">En tal sentido, si la autoridad municipal o distrital ejerce el control de los espectáculos taurinos en su condición de agente de la función de policía, no resulta válido desde la perspectiva constitucional que prohíba esa actividad, cuando no tiene respaldo normativo, de índole legal -en tanto el poder de policía corresponde al Congreso- para imponer esa condición. </w:t>
      </w:r>
    </w:p>
    <w:p w14:paraId="27236C36" w14:textId="4205D689" w:rsidR="00045458" w:rsidRPr="00E36863" w:rsidRDefault="00045458" w:rsidP="006424A7">
      <w:pPr>
        <w:pStyle w:val="Textonotapie"/>
        <w:jc w:val="both"/>
        <w:rPr>
          <w:rFonts w:ascii="Times New Roman" w:hAnsi="Times New Roman" w:cs="Times New Roman"/>
        </w:rPr>
      </w:pPr>
      <w:r w:rsidRPr="00E36863">
        <w:rPr>
          <w:rFonts w:ascii="Times New Roman" w:hAnsi="Times New Roman" w:cs="Times New Roman"/>
          <w:i/>
          <w:iCs/>
        </w:rPr>
        <w:t>En consecuencia, la afirmación realizada por la Corte en la sentencia C-666/10 debe interpretarse en el marco de las limitaciones propias del ejercicio de la función de policía, que está precedida de la existencia de un mandato legal previo para que los entes locales puedan imponer restricciones al ejercicio de actividades ciudadanas</w:t>
      </w:r>
      <w:r w:rsidR="006424A7" w:rsidRPr="00E36863">
        <w:rPr>
          <w:rFonts w:ascii="Times New Roman" w:hAnsi="Times New Roman" w:cs="Times New Roman"/>
          <w:i/>
          <w:iCs/>
        </w:rPr>
        <w:t>, entre ellas la celebración de espectáculos taurinos. Por lo tanto, las entidades podrían válidamente prever una prohibición general de la actividad taurina, solo cuando esa opción administrativa esté respaldada por el ordenamiento legal.</w:t>
      </w:r>
      <w:r w:rsidRPr="00E36863">
        <w:rPr>
          <w:rFonts w:ascii="Times New Roman" w:hAnsi="Times New Roman" w:cs="Times New Roman"/>
        </w:rPr>
        <w:t>”</w:t>
      </w:r>
    </w:p>
  </w:footnote>
  <w:footnote w:id="23">
    <w:p w14:paraId="6FDBD344" w14:textId="08AC220C" w:rsidR="006424A7" w:rsidRPr="00E36863" w:rsidRDefault="006424A7" w:rsidP="00F813AD">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C-889 de 2012. En efecto, la Corte expuso que “</w:t>
      </w:r>
      <w:r w:rsidRPr="00E36863">
        <w:rPr>
          <w:rFonts w:ascii="Times New Roman" w:hAnsi="Times New Roman" w:cs="Times New Roman"/>
          <w:i/>
          <w:iCs/>
        </w:rPr>
        <w:t>Estos requisitos, que deben ser verificados por las autoridades locales para autorizar la práctica taurina, refieren a: (i) las condiciones para el espect</w:t>
      </w:r>
      <w:r w:rsidR="00F813AD" w:rsidRPr="00E36863">
        <w:rPr>
          <w:rFonts w:ascii="Times New Roman" w:hAnsi="Times New Roman" w:cs="Times New Roman"/>
          <w:i/>
          <w:iCs/>
        </w:rPr>
        <w:t>áculo que están condicionadas en la Ley 916/04, (…); (</w:t>
      </w:r>
      <w:proofErr w:type="spellStart"/>
      <w:r w:rsidR="00F813AD" w:rsidRPr="00E36863">
        <w:rPr>
          <w:rFonts w:ascii="Times New Roman" w:hAnsi="Times New Roman" w:cs="Times New Roman"/>
          <w:i/>
          <w:iCs/>
        </w:rPr>
        <w:t>ii</w:t>
      </w:r>
      <w:proofErr w:type="spellEnd"/>
      <w:r w:rsidR="00F813AD" w:rsidRPr="00E36863">
        <w:rPr>
          <w:rFonts w:ascii="Times New Roman" w:hAnsi="Times New Roman" w:cs="Times New Roman"/>
          <w:i/>
          <w:iCs/>
        </w:rPr>
        <w:t>) los requisitos que sobre aseguramiento del orden público prevea el legislador para la celebración de espectáculos públicos, en general; y, (</w:t>
      </w:r>
      <w:proofErr w:type="spellStart"/>
      <w:r w:rsidR="00F813AD" w:rsidRPr="00E36863">
        <w:rPr>
          <w:rFonts w:ascii="Times New Roman" w:hAnsi="Times New Roman" w:cs="Times New Roman"/>
          <w:i/>
          <w:iCs/>
        </w:rPr>
        <w:t>iii</w:t>
      </w:r>
      <w:proofErr w:type="spellEnd"/>
      <w:r w:rsidR="00F813AD" w:rsidRPr="00E36863">
        <w:rPr>
          <w:rFonts w:ascii="Times New Roman" w:hAnsi="Times New Roman" w:cs="Times New Roman"/>
          <w:i/>
          <w:iCs/>
        </w:rPr>
        <w:t>) el cumplimiento de las condiciones constitucionales de arraigo social, localización, oportunidad y excepcionalidad que fueron ordenadas por la Corte en la sentencia C-666/10, ante la necesidad de hacer compatible la actividad taurina con el mandato de protección animal.</w:t>
      </w:r>
      <w:r w:rsidRPr="00E36863">
        <w:rPr>
          <w:rFonts w:ascii="Times New Roman" w:hAnsi="Times New Roman" w:cs="Times New Roman"/>
        </w:rPr>
        <w:t>”</w:t>
      </w:r>
    </w:p>
  </w:footnote>
  <w:footnote w:id="24">
    <w:p w14:paraId="5A81E3FE" w14:textId="7E51E84F" w:rsidR="009A4F5E" w:rsidRPr="00E36863" w:rsidRDefault="009A4F5E">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C-666 de 2010.</w:t>
      </w:r>
    </w:p>
  </w:footnote>
  <w:footnote w:id="25">
    <w:p w14:paraId="5FDD3860" w14:textId="77777777" w:rsidR="00F4102C" w:rsidRPr="00E36863" w:rsidRDefault="00F4102C" w:rsidP="00F4102C">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Constitución Política de Colombia. Artículo 287, numeral 1.</w:t>
      </w:r>
    </w:p>
  </w:footnote>
  <w:footnote w:id="26">
    <w:p w14:paraId="44C8B442" w14:textId="77777777" w:rsidR="00F4102C" w:rsidRPr="00E36863" w:rsidRDefault="00F4102C" w:rsidP="00F4102C">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Constitución Política de Colombia. Artículo 287, numeral 2.</w:t>
      </w:r>
    </w:p>
  </w:footnote>
  <w:footnote w:id="27">
    <w:p w14:paraId="62B82BB4" w14:textId="77777777" w:rsidR="00F4102C" w:rsidRPr="00E36863" w:rsidRDefault="00F4102C" w:rsidP="00F4102C">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Constitución Política de Colombia. Artículo 287, numeral 3.</w:t>
      </w:r>
    </w:p>
  </w:footnote>
  <w:footnote w:id="28">
    <w:p w14:paraId="4E718F87" w14:textId="77777777" w:rsidR="00F4102C" w:rsidRPr="00E36863" w:rsidRDefault="00F4102C" w:rsidP="00F4102C">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Constitución Política de Colombia. Artículo 287, numeral 4.</w:t>
      </w:r>
    </w:p>
  </w:footnote>
  <w:footnote w:id="29">
    <w:p w14:paraId="759C0089" w14:textId="1373238C" w:rsidR="00F4102C" w:rsidRPr="00E36863" w:rsidRDefault="00F4102C" w:rsidP="00F4102C">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C-554 de 2007 y C-077 de 2017. Al respecto, la Corte Constitucional ha entendido que estas potestades tienen dos justificaciones. La primera conlleva el reconocimiento del municipio como “</w:t>
      </w:r>
      <w:r w:rsidRPr="00E36863">
        <w:rPr>
          <w:rFonts w:ascii="Times New Roman" w:hAnsi="Times New Roman" w:cs="Times New Roman"/>
          <w:i/>
          <w:iCs/>
        </w:rPr>
        <w:t>ente idóneo para solucionar los problemas locales en la medida en que conoce realmente las necesidades a satisfacer, y tiene el interés para hacerlo por hallarse en una relación cercana con la comunidad</w:t>
      </w:r>
      <w:r w:rsidRPr="00E36863">
        <w:rPr>
          <w:rFonts w:ascii="Times New Roman" w:hAnsi="Times New Roman" w:cs="Times New Roman"/>
        </w:rPr>
        <w:t>”</w:t>
      </w:r>
      <w:r w:rsidR="00EC618B" w:rsidRPr="00E36863">
        <w:rPr>
          <w:rFonts w:ascii="Times New Roman" w:hAnsi="Times New Roman" w:cs="Times New Roman"/>
        </w:rPr>
        <w:t>. Por su parte, la segunda consiste en la identificación de las autoridades territoriales como aquellas que materializan la soberanía y la democracia participativa en el ámbito local, para responder a las necesidades de cada comunidad.</w:t>
      </w:r>
    </w:p>
  </w:footnote>
  <w:footnote w:id="30">
    <w:p w14:paraId="56B5E1CD" w14:textId="5F2DFF27" w:rsidR="00EC618B" w:rsidRPr="00E36863" w:rsidRDefault="00EC618B">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C-149 de 2010, C-889 de 2012 y C-077 de 2017.</w:t>
      </w:r>
    </w:p>
  </w:footnote>
  <w:footnote w:id="31">
    <w:p w14:paraId="7EDD8C3C" w14:textId="77777777" w:rsidR="00A80E3F" w:rsidRPr="00E36863" w:rsidRDefault="00A80E3F" w:rsidP="00A80E3F">
      <w:pPr>
        <w:pStyle w:val="Textonotapie"/>
        <w:jc w:val="both"/>
        <w:rPr>
          <w:rFonts w:ascii="Times New Roman" w:hAnsi="Times New Roman" w:cs="Times New Roman"/>
          <w:lang w:val="es-ES"/>
        </w:rPr>
      </w:pPr>
      <w:r w:rsidRPr="00E36863">
        <w:rPr>
          <w:rStyle w:val="Refdenotaalpie"/>
          <w:rFonts w:ascii="Times New Roman" w:hAnsi="Times New Roman" w:cs="Times New Roman"/>
        </w:rPr>
        <w:footnoteRef/>
      </w:r>
      <w:r w:rsidRPr="00E36863">
        <w:rPr>
          <w:rFonts w:ascii="Times New Roman" w:hAnsi="Times New Roman" w:cs="Times New Roman"/>
        </w:rPr>
        <w:t xml:space="preserve"> </w:t>
      </w:r>
      <w:r w:rsidRPr="00E36863">
        <w:rPr>
          <w:rFonts w:ascii="Times New Roman" w:hAnsi="Times New Roman" w:cs="Times New Roman"/>
          <w:lang w:val="es-ES"/>
        </w:rPr>
        <w:t>Corte Constitucional. Auto A383 de 2010.</w:t>
      </w:r>
    </w:p>
  </w:footnote>
  <w:footnote w:id="32">
    <w:p w14:paraId="1459DE7F" w14:textId="77777777" w:rsidR="00A80E3F" w:rsidRPr="00E36863" w:rsidRDefault="00A80E3F" w:rsidP="00A80E3F">
      <w:pPr>
        <w:pStyle w:val="Textonotapie"/>
        <w:jc w:val="both"/>
        <w:rPr>
          <w:rFonts w:ascii="Times New Roman" w:hAnsi="Times New Roman" w:cs="Times New Roman"/>
          <w:lang w:val="es-ES"/>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Auto A383 de 2010.</w:t>
      </w:r>
    </w:p>
  </w:footnote>
  <w:footnote w:id="33">
    <w:p w14:paraId="56B97BFC" w14:textId="77777777" w:rsidR="00A80E3F" w:rsidRPr="00E36863" w:rsidRDefault="00A80E3F" w:rsidP="00A80E3F">
      <w:pPr>
        <w:pStyle w:val="Textonotapie"/>
        <w:jc w:val="both"/>
        <w:rPr>
          <w:rFonts w:ascii="Times New Roman" w:hAnsi="Times New Roman" w:cs="Times New Roman"/>
          <w:lang w:val="es-ES"/>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Auto A383 de 2010.</w:t>
      </w:r>
    </w:p>
  </w:footnote>
  <w:footnote w:id="34">
    <w:p w14:paraId="24D66830" w14:textId="77777777" w:rsidR="00A80E3F" w:rsidRPr="00E36863" w:rsidRDefault="00A80E3F" w:rsidP="00A80E3F">
      <w:pPr>
        <w:pStyle w:val="Textonotapie"/>
        <w:jc w:val="both"/>
        <w:rPr>
          <w:rFonts w:ascii="Times New Roman" w:hAnsi="Times New Roman" w:cs="Times New Roman"/>
          <w:lang w:val="es-ES"/>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Auto A383 de 2010.</w:t>
      </w:r>
    </w:p>
  </w:footnote>
  <w:footnote w:id="35">
    <w:p w14:paraId="692375F8" w14:textId="3861C20A" w:rsidR="001069CF" w:rsidRPr="00E36863" w:rsidRDefault="001069CF">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C-1192 de 2005.</w:t>
      </w:r>
    </w:p>
  </w:footnote>
  <w:footnote w:id="36">
    <w:p w14:paraId="54B5752F" w14:textId="707C2220" w:rsidR="00E36863" w:rsidRPr="00E36863" w:rsidRDefault="00E36863" w:rsidP="00E36863">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Un estudio interesante sobre las diversas formas de colonización y sus formas de resistencia se puede ver en: FANON, </w:t>
      </w:r>
      <w:proofErr w:type="spellStart"/>
      <w:r w:rsidRPr="00E36863">
        <w:rPr>
          <w:rFonts w:ascii="Times New Roman" w:hAnsi="Times New Roman" w:cs="Times New Roman"/>
        </w:rPr>
        <w:t>Frantz</w:t>
      </w:r>
      <w:proofErr w:type="spellEnd"/>
      <w:r w:rsidRPr="00E36863">
        <w:rPr>
          <w:rFonts w:ascii="Times New Roman" w:hAnsi="Times New Roman" w:cs="Times New Roman"/>
        </w:rPr>
        <w:t>. Los condenados de la tierra. Fondo de Cultura Económica. Trad. Julieta Campos. Buenos Aires. 2015.</w:t>
      </w:r>
    </w:p>
  </w:footnote>
  <w:footnote w:id="37">
    <w:p w14:paraId="7D09432B" w14:textId="50592E4E" w:rsidR="009712EB" w:rsidRPr="00E36863" w:rsidRDefault="009712EB">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C-600 A de 1995.</w:t>
      </w:r>
    </w:p>
  </w:footnote>
  <w:footnote w:id="38">
    <w:p w14:paraId="0B4E1C47" w14:textId="77BE89D3" w:rsidR="009712EB" w:rsidRPr="00E36863" w:rsidRDefault="009712EB">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C-600 A de 1995.</w:t>
      </w:r>
    </w:p>
  </w:footnote>
  <w:footnote w:id="39">
    <w:p w14:paraId="715CCC5C" w14:textId="6ED6FA35" w:rsidR="009712EB" w:rsidRPr="00E36863" w:rsidRDefault="009712EB" w:rsidP="00CA375F">
      <w:pPr>
        <w:pStyle w:val="Textonotapie"/>
        <w:jc w:val="both"/>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 C-600 A de 1995. En efecto, en dicha sentencia, la Corte expuso que: “</w:t>
      </w:r>
      <w:r w:rsidRPr="00E36863">
        <w:rPr>
          <w:rFonts w:ascii="Times New Roman" w:hAnsi="Times New Roman" w:cs="Times New Roman"/>
          <w:i/>
          <w:iCs/>
        </w:rPr>
        <w:t>Esta legislación orgánica toca con la estructura territorial y la organización de los poderes públicos en función del territorio, por lo cual, en principio, deben formar parte de ella la definición de las condiciones y requisitos de existencia de las entidades territoriales y de ciertas divisiones administrativas del territorio, así como su régimen jurídico básico (C.P. arts. 1°</w:t>
      </w:r>
      <w:r w:rsidR="00CA375F" w:rsidRPr="00E36863">
        <w:rPr>
          <w:rFonts w:ascii="Times New Roman" w:hAnsi="Times New Roman" w:cs="Times New Roman"/>
          <w:i/>
          <w:iCs/>
        </w:rPr>
        <w:t>, 150-4, 297, 306, 307, 319, 321 y 329</w:t>
      </w:r>
      <w:r w:rsidRPr="00E36863">
        <w:rPr>
          <w:rFonts w:ascii="Times New Roman" w:hAnsi="Times New Roman" w:cs="Times New Roman"/>
          <w:i/>
          <w:iCs/>
        </w:rPr>
        <w:t>)</w:t>
      </w:r>
      <w:r w:rsidR="00CA375F" w:rsidRPr="00E36863">
        <w:rPr>
          <w:rFonts w:ascii="Times New Roman" w:hAnsi="Times New Roman" w:cs="Times New Roman"/>
          <w:i/>
          <w:iCs/>
        </w:rPr>
        <w:t>. Igualmente deben hacer parte de esta legislación ciertos mecanismos de participación relacionados con el ordenamiento territorial, como por ejemplo aquellos que decidan la incorporación y pertenencia a una división o a una entidad territorial (C.P. art. 105, 297, 307, 319 y 321). Y, finalmente, corresponde a la legislación orgánica territorial asignar competencia normativas y no normativas a las entidades territoriales, y establecer la distribución de competencias entre la Nación y estas entidades, lo cual supone el establecimiento de ciertos mecanismos para dirimir los conflictos de competencia que se puedan presentar (C.P. arts. 151 y 288).</w:t>
      </w:r>
      <w:r w:rsidRPr="00E36863">
        <w:rPr>
          <w:rFonts w:ascii="Times New Roman" w:hAnsi="Times New Roman" w:cs="Times New Roman"/>
        </w:rPr>
        <w:t>”</w:t>
      </w:r>
    </w:p>
  </w:footnote>
  <w:footnote w:id="40">
    <w:p w14:paraId="417896A1" w14:textId="4A2FE681" w:rsidR="001A4CF6" w:rsidRPr="00E36863" w:rsidRDefault="001A4CF6">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Corte Constitucional. Sentencias C-494 de 2015 y C-600A de 1995 y C-077 de 2012.</w:t>
      </w:r>
    </w:p>
  </w:footnote>
  <w:footnote w:id="41">
    <w:p w14:paraId="25858E74" w14:textId="77777777" w:rsidR="00A52113" w:rsidRPr="00E36863" w:rsidRDefault="00A52113" w:rsidP="00A52113">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Constitución Política de Colombia. Art. 151.</w:t>
      </w:r>
    </w:p>
  </w:footnote>
  <w:footnote w:id="42">
    <w:p w14:paraId="0FB6B908" w14:textId="77777777" w:rsidR="00A52113" w:rsidRPr="00E36863" w:rsidRDefault="00A52113" w:rsidP="00A52113">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Ley 5ta de 1992. Art. 205, numeral. 5°.</w:t>
      </w:r>
    </w:p>
  </w:footnote>
  <w:footnote w:id="43">
    <w:p w14:paraId="6FE526EB" w14:textId="77777777" w:rsidR="00A52113" w:rsidRPr="00E36863" w:rsidRDefault="00A52113" w:rsidP="00A52113">
      <w:pPr>
        <w:pStyle w:val="Textonotapie"/>
        <w:rPr>
          <w:rFonts w:ascii="Times New Roman" w:hAnsi="Times New Roman" w:cs="Times New Roman"/>
        </w:rPr>
      </w:pPr>
      <w:r w:rsidRPr="00E36863">
        <w:rPr>
          <w:rStyle w:val="Refdenotaalpie"/>
          <w:rFonts w:ascii="Times New Roman" w:hAnsi="Times New Roman" w:cs="Times New Roman"/>
        </w:rPr>
        <w:footnoteRef/>
      </w:r>
      <w:r w:rsidRPr="00E36863">
        <w:rPr>
          <w:rFonts w:ascii="Times New Roman" w:hAnsi="Times New Roman" w:cs="Times New Roman"/>
        </w:rPr>
        <w:t xml:space="preserve"> Ley 3ra de 1992. Art. 2° - Artículo modificado por el artículo 1 de la Ley 754 de 2002-.</w:t>
      </w:r>
    </w:p>
  </w:footnote>
  <w:footnote w:id="44">
    <w:p w14:paraId="16BD16FD" w14:textId="77777777" w:rsidR="00EC201D" w:rsidRPr="00EA1534" w:rsidRDefault="00EC201D" w:rsidP="00EC201D">
      <w:pPr>
        <w:pStyle w:val="Textonotapie"/>
        <w:rPr>
          <w:lang w:val="es-ES"/>
        </w:rPr>
      </w:pPr>
      <w:r>
        <w:rPr>
          <w:rStyle w:val="Refdenotaalpie"/>
        </w:rPr>
        <w:footnoteRef/>
      </w:r>
      <w:r>
        <w:t xml:space="preserve"> </w:t>
      </w:r>
      <w:r>
        <w:rPr>
          <w:lang w:val="es-ES"/>
        </w:rPr>
        <w:t xml:space="preserve">Corte Constitucional. Sentencia C 911 de 2007. M.P. Jaime Araujo Rentería. </w:t>
      </w:r>
    </w:p>
  </w:footnote>
  <w:footnote w:id="45">
    <w:p w14:paraId="6F27A1E7" w14:textId="77777777" w:rsidR="00EC201D" w:rsidRPr="00EA1534" w:rsidRDefault="00EC201D" w:rsidP="00EC201D">
      <w:pPr>
        <w:pStyle w:val="Textonotapie"/>
        <w:rPr>
          <w:lang w:val="es-ES"/>
        </w:rPr>
      </w:pPr>
      <w:r>
        <w:rPr>
          <w:rStyle w:val="Refdenotaalpie"/>
        </w:rPr>
        <w:footnoteRef/>
      </w:r>
      <w:r>
        <w:t xml:space="preserve"> </w:t>
      </w:r>
      <w:r>
        <w:rPr>
          <w:lang w:val="es-ES"/>
        </w:rPr>
        <w:t xml:space="preserve">Corte Constitucional. Sentencia C 911 de 2007. M.P. Jaime Araujo Rentería. </w:t>
      </w:r>
    </w:p>
  </w:footnote>
  <w:footnote w:id="46">
    <w:p w14:paraId="5E7B0B62" w14:textId="77777777" w:rsidR="00EC201D" w:rsidRPr="00EA1534" w:rsidRDefault="00EC201D" w:rsidP="00EC201D">
      <w:pPr>
        <w:pStyle w:val="Textonotapie"/>
        <w:rPr>
          <w:lang w:val="es-ES"/>
        </w:rPr>
      </w:pPr>
      <w:r>
        <w:rPr>
          <w:rStyle w:val="Refdenotaalpie"/>
        </w:rPr>
        <w:footnoteRef/>
      </w:r>
      <w:r>
        <w:t xml:space="preserve"> </w:t>
      </w:r>
      <w:r>
        <w:rPr>
          <w:lang w:val="es-ES"/>
        </w:rPr>
        <w:t xml:space="preserve">Corte Constitucional. Sentencia C 866 de 2010. M.P. Jorge Ignacio Pretelt Chaljub. </w:t>
      </w:r>
    </w:p>
  </w:footnote>
  <w:footnote w:id="47">
    <w:p w14:paraId="3170A12B" w14:textId="77777777" w:rsidR="00EC201D" w:rsidRPr="00DA0B65" w:rsidRDefault="00EC201D" w:rsidP="00EC201D">
      <w:pPr>
        <w:pStyle w:val="Textonotapie"/>
        <w:rPr>
          <w:lang w:val="es-ES"/>
        </w:rPr>
      </w:pPr>
      <w:r>
        <w:rPr>
          <w:rStyle w:val="Refdenotaalpie"/>
        </w:rPr>
        <w:footnoteRef/>
      </w:r>
      <w:r>
        <w:t xml:space="preserve"> </w:t>
      </w:r>
      <w:r>
        <w:rPr>
          <w:lang w:val="es-ES"/>
        </w:rPr>
        <w:t xml:space="preserve">Corte Constitucional. Sentencia C 110 de 2019. M.P. Alejandro Linares Cantillo. </w:t>
      </w:r>
    </w:p>
  </w:footnote>
  <w:footnote w:id="48">
    <w:p w14:paraId="48E3BE0B" w14:textId="77777777" w:rsidR="00EC201D" w:rsidRPr="00604148" w:rsidRDefault="00EC201D" w:rsidP="00EC201D">
      <w:pPr>
        <w:pStyle w:val="Textonotapie"/>
        <w:rPr>
          <w:lang w:val="es-ES"/>
        </w:rPr>
      </w:pPr>
      <w:r>
        <w:rPr>
          <w:rStyle w:val="Refdenotaalpie"/>
        </w:rPr>
        <w:footnoteRef/>
      </w:r>
      <w:r>
        <w:t xml:space="preserve"> </w:t>
      </w:r>
      <w:r>
        <w:rPr>
          <w:lang w:val="es-ES"/>
        </w:rPr>
        <w:t xml:space="preserve">Corte Constitucional. Sentencia C 520 de 2019. M.P. Cristina Pardo Schlesinger. </w:t>
      </w:r>
    </w:p>
  </w:footnote>
  <w:footnote w:id="49">
    <w:p w14:paraId="63FE9A83" w14:textId="77777777" w:rsidR="00EC201D" w:rsidRPr="008B4948" w:rsidRDefault="00EC201D" w:rsidP="00EC201D">
      <w:pPr>
        <w:pStyle w:val="Textonotapie"/>
        <w:rPr>
          <w:lang w:val="es-ES"/>
        </w:rPr>
      </w:pPr>
      <w:r>
        <w:rPr>
          <w:rStyle w:val="Refdenotaalpie"/>
        </w:rPr>
        <w:footnoteRef/>
      </w:r>
      <w:r>
        <w:t xml:space="preserve"> </w:t>
      </w:r>
      <w:r>
        <w:rPr>
          <w:lang w:val="es-ES"/>
        </w:rPr>
        <w:t>Corte Constitucional. Sentencia C 520 de 2019. M.P. Cristina Pardo Schlesinger.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5B05" w14:textId="04A369B2" w:rsidR="006938E4" w:rsidRDefault="006938E4">
    <w:pPr>
      <w:pStyle w:val="Encabezado"/>
    </w:pPr>
    <w:r>
      <w:rPr>
        <w:noProof/>
        <w:lang w:eastAsia="es-CO"/>
      </w:rPr>
      <w:drawing>
        <wp:anchor distT="0" distB="0" distL="114300" distR="114300" simplePos="0" relativeHeight="251659264" behindDoc="0" locked="0" layoutInCell="1" allowOverlap="1" wp14:anchorId="2691B521" wp14:editId="12F3829C">
          <wp:simplePos x="0" y="0"/>
          <wp:positionH relativeFrom="margin">
            <wp:posOffset>3686175</wp:posOffset>
          </wp:positionH>
          <wp:positionV relativeFrom="margin">
            <wp:posOffset>-791845</wp:posOffset>
          </wp:positionV>
          <wp:extent cx="2345055" cy="6946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5055" cy="694690"/>
                  </a:xfrm>
                  <a:prstGeom prst="rect">
                    <a:avLst/>
                  </a:prstGeom>
                </pic:spPr>
              </pic:pic>
            </a:graphicData>
          </a:graphic>
        </wp:anchor>
      </w:drawing>
    </w:r>
    <w:r>
      <w:rPr>
        <w:noProof/>
        <w:lang w:eastAsia="es-CO"/>
      </w:rPr>
      <w:drawing>
        <wp:inline distT="0" distB="0" distL="0" distR="0" wp14:anchorId="71E91271" wp14:editId="2B70A7EE">
          <wp:extent cx="1695450" cy="696358"/>
          <wp:effectExtent l="0" t="0" r="0" b="0"/>
          <wp:docPr id="2" name="1 Imagen" descr="logo final juan daniel transparen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 juan daniel transparente .png"/>
                  <pic:cNvPicPr/>
                </pic:nvPicPr>
                <pic:blipFill rotWithShape="1">
                  <a:blip r:embed="rId2"/>
                  <a:srcRect l="17447" t="26083" r="17021" b="31749"/>
                  <a:stretch/>
                </pic:blipFill>
                <pic:spPr bwMode="auto">
                  <a:xfrm>
                    <a:off x="0" y="0"/>
                    <a:ext cx="1699180" cy="69789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40E"/>
    <w:multiLevelType w:val="hybridMultilevel"/>
    <w:tmpl w:val="014657DA"/>
    <w:lvl w:ilvl="0" w:tplc="69E4CCA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0E2E20"/>
    <w:multiLevelType w:val="hybridMultilevel"/>
    <w:tmpl w:val="45040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8B55E3E"/>
    <w:multiLevelType w:val="hybridMultilevel"/>
    <w:tmpl w:val="AA9A6BBE"/>
    <w:lvl w:ilvl="0" w:tplc="69E4CCA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A2372D"/>
    <w:multiLevelType w:val="hybridMultilevel"/>
    <w:tmpl w:val="C92E7D0A"/>
    <w:lvl w:ilvl="0" w:tplc="5E80D26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2F7623F"/>
    <w:multiLevelType w:val="hybridMultilevel"/>
    <w:tmpl w:val="28627FE4"/>
    <w:lvl w:ilvl="0" w:tplc="69E4CCA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5B15023"/>
    <w:multiLevelType w:val="hybridMultilevel"/>
    <w:tmpl w:val="FC3628F4"/>
    <w:lvl w:ilvl="0" w:tplc="6C00A588">
      <w:start w:val="3"/>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E0145F4"/>
    <w:multiLevelType w:val="hybridMultilevel"/>
    <w:tmpl w:val="6D167772"/>
    <w:lvl w:ilvl="0" w:tplc="69E4CCA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6A533CB"/>
    <w:multiLevelType w:val="hybridMultilevel"/>
    <w:tmpl w:val="FF04F9AC"/>
    <w:lvl w:ilvl="0" w:tplc="808888A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81A2858"/>
    <w:multiLevelType w:val="hybridMultilevel"/>
    <w:tmpl w:val="AA9A6BBE"/>
    <w:lvl w:ilvl="0" w:tplc="69E4CCA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B44149B"/>
    <w:multiLevelType w:val="hybridMultilevel"/>
    <w:tmpl w:val="B63A7C38"/>
    <w:lvl w:ilvl="0" w:tplc="69E4CCA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CBC55AC"/>
    <w:multiLevelType w:val="hybridMultilevel"/>
    <w:tmpl w:val="D94E3F0E"/>
    <w:lvl w:ilvl="0" w:tplc="E2BE4D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68260D9"/>
    <w:multiLevelType w:val="hybridMultilevel"/>
    <w:tmpl w:val="84589A76"/>
    <w:lvl w:ilvl="0" w:tplc="516050F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7556B78"/>
    <w:multiLevelType w:val="hybridMultilevel"/>
    <w:tmpl w:val="54C6A8A2"/>
    <w:lvl w:ilvl="0" w:tplc="808888A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EA5383"/>
    <w:multiLevelType w:val="hybridMultilevel"/>
    <w:tmpl w:val="CF242D94"/>
    <w:lvl w:ilvl="0" w:tplc="69E4CCA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D06FF2"/>
    <w:multiLevelType w:val="multilevel"/>
    <w:tmpl w:val="AFC000D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CC2E6F"/>
    <w:multiLevelType w:val="hybridMultilevel"/>
    <w:tmpl w:val="FF04F9AC"/>
    <w:lvl w:ilvl="0" w:tplc="808888A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8286964"/>
    <w:multiLevelType w:val="hybridMultilevel"/>
    <w:tmpl w:val="4FD4FFA8"/>
    <w:lvl w:ilvl="0" w:tplc="240A000F">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4"/>
  </w:num>
  <w:num w:numId="3">
    <w:abstractNumId w:val="12"/>
  </w:num>
  <w:num w:numId="4">
    <w:abstractNumId w:val="3"/>
  </w:num>
  <w:num w:numId="5">
    <w:abstractNumId w:val="5"/>
  </w:num>
  <w:num w:numId="6">
    <w:abstractNumId w:val="10"/>
  </w:num>
  <w:num w:numId="7">
    <w:abstractNumId w:val="1"/>
  </w:num>
  <w:num w:numId="8">
    <w:abstractNumId w:val="16"/>
  </w:num>
  <w:num w:numId="9">
    <w:abstractNumId w:val="7"/>
  </w:num>
  <w:num w:numId="10">
    <w:abstractNumId w:val="14"/>
  </w:num>
  <w:num w:numId="11">
    <w:abstractNumId w:val="15"/>
  </w:num>
  <w:num w:numId="12">
    <w:abstractNumId w:val="13"/>
  </w:num>
  <w:num w:numId="13">
    <w:abstractNumId w:val="0"/>
  </w:num>
  <w:num w:numId="14">
    <w:abstractNumId w:val="6"/>
  </w:num>
  <w:num w:numId="15">
    <w:abstractNumId w:val="8"/>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5C"/>
    <w:rsid w:val="0002080A"/>
    <w:rsid w:val="00027F22"/>
    <w:rsid w:val="00035804"/>
    <w:rsid w:val="00042745"/>
    <w:rsid w:val="000433D1"/>
    <w:rsid w:val="00044929"/>
    <w:rsid w:val="00045458"/>
    <w:rsid w:val="00055B98"/>
    <w:rsid w:val="00057192"/>
    <w:rsid w:val="000773A6"/>
    <w:rsid w:val="00094FA2"/>
    <w:rsid w:val="000A17FE"/>
    <w:rsid w:val="000B6B37"/>
    <w:rsid w:val="000C359B"/>
    <w:rsid w:val="000C44C2"/>
    <w:rsid w:val="000D2E02"/>
    <w:rsid w:val="000D3309"/>
    <w:rsid w:val="000E155E"/>
    <w:rsid w:val="000E1E07"/>
    <w:rsid w:val="000E519E"/>
    <w:rsid w:val="000E5CE3"/>
    <w:rsid w:val="000F3F03"/>
    <w:rsid w:val="000F6485"/>
    <w:rsid w:val="00101B42"/>
    <w:rsid w:val="001069CF"/>
    <w:rsid w:val="001244A8"/>
    <w:rsid w:val="0012630F"/>
    <w:rsid w:val="001406BF"/>
    <w:rsid w:val="00155F9E"/>
    <w:rsid w:val="00162D84"/>
    <w:rsid w:val="0017449A"/>
    <w:rsid w:val="00177EEB"/>
    <w:rsid w:val="0018584F"/>
    <w:rsid w:val="001A4CF6"/>
    <w:rsid w:val="001A7B20"/>
    <w:rsid w:val="001C4202"/>
    <w:rsid w:val="001F1AB7"/>
    <w:rsid w:val="001F1FB0"/>
    <w:rsid w:val="00200D55"/>
    <w:rsid w:val="002130EB"/>
    <w:rsid w:val="0022048E"/>
    <w:rsid w:val="00237986"/>
    <w:rsid w:val="00254BD1"/>
    <w:rsid w:val="002633D4"/>
    <w:rsid w:val="00266452"/>
    <w:rsid w:val="00271291"/>
    <w:rsid w:val="00285938"/>
    <w:rsid w:val="00286920"/>
    <w:rsid w:val="00291BC8"/>
    <w:rsid w:val="0029727B"/>
    <w:rsid w:val="002B6F25"/>
    <w:rsid w:val="002D7AB8"/>
    <w:rsid w:val="002E10AC"/>
    <w:rsid w:val="003010AF"/>
    <w:rsid w:val="00306D7C"/>
    <w:rsid w:val="00307794"/>
    <w:rsid w:val="0031245E"/>
    <w:rsid w:val="00315032"/>
    <w:rsid w:val="00334394"/>
    <w:rsid w:val="00343F1A"/>
    <w:rsid w:val="00354CA3"/>
    <w:rsid w:val="00354F04"/>
    <w:rsid w:val="00377466"/>
    <w:rsid w:val="00385A3A"/>
    <w:rsid w:val="003912DF"/>
    <w:rsid w:val="003A76D4"/>
    <w:rsid w:val="003B1EA5"/>
    <w:rsid w:val="003B54F2"/>
    <w:rsid w:val="003C5761"/>
    <w:rsid w:val="003E02AB"/>
    <w:rsid w:val="003E7EFC"/>
    <w:rsid w:val="00400BD2"/>
    <w:rsid w:val="00411B2F"/>
    <w:rsid w:val="00412200"/>
    <w:rsid w:val="0042078B"/>
    <w:rsid w:val="004279EC"/>
    <w:rsid w:val="00442BAA"/>
    <w:rsid w:val="00446769"/>
    <w:rsid w:val="004677CD"/>
    <w:rsid w:val="004A130C"/>
    <w:rsid w:val="004A52F9"/>
    <w:rsid w:val="004A6C9B"/>
    <w:rsid w:val="004B5F8A"/>
    <w:rsid w:val="004C5889"/>
    <w:rsid w:val="004F506A"/>
    <w:rsid w:val="004F6BF8"/>
    <w:rsid w:val="00512789"/>
    <w:rsid w:val="00517048"/>
    <w:rsid w:val="00517471"/>
    <w:rsid w:val="00533CBE"/>
    <w:rsid w:val="00540CEA"/>
    <w:rsid w:val="00541F36"/>
    <w:rsid w:val="00543100"/>
    <w:rsid w:val="005500D4"/>
    <w:rsid w:val="00551BC9"/>
    <w:rsid w:val="00556BE1"/>
    <w:rsid w:val="0057225E"/>
    <w:rsid w:val="0057485B"/>
    <w:rsid w:val="00584968"/>
    <w:rsid w:val="00587801"/>
    <w:rsid w:val="00597DAB"/>
    <w:rsid w:val="005B246D"/>
    <w:rsid w:val="005B3805"/>
    <w:rsid w:val="005C2687"/>
    <w:rsid w:val="005D6473"/>
    <w:rsid w:val="005E3C82"/>
    <w:rsid w:val="005F7FB7"/>
    <w:rsid w:val="006129B0"/>
    <w:rsid w:val="006327C3"/>
    <w:rsid w:val="00640FA6"/>
    <w:rsid w:val="006424A7"/>
    <w:rsid w:val="00650DE4"/>
    <w:rsid w:val="006514E6"/>
    <w:rsid w:val="00662FA8"/>
    <w:rsid w:val="0066349A"/>
    <w:rsid w:val="006938E4"/>
    <w:rsid w:val="00697B65"/>
    <w:rsid w:val="006A5441"/>
    <w:rsid w:val="006C47D2"/>
    <w:rsid w:val="006C7579"/>
    <w:rsid w:val="006D32C8"/>
    <w:rsid w:val="006F6C56"/>
    <w:rsid w:val="007048DE"/>
    <w:rsid w:val="00714B7F"/>
    <w:rsid w:val="00732D1C"/>
    <w:rsid w:val="00736D50"/>
    <w:rsid w:val="00746A5C"/>
    <w:rsid w:val="007541B7"/>
    <w:rsid w:val="00756B14"/>
    <w:rsid w:val="0075737B"/>
    <w:rsid w:val="00761BD6"/>
    <w:rsid w:val="00763A3B"/>
    <w:rsid w:val="0076681C"/>
    <w:rsid w:val="00775F26"/>
    <w:rsid w:val="007834C2"/>
    <w:rsid w:val="007F3C3A"/>
    <w:rsid w:val="0080597F"/>
    <w:rsid w:val="008073C1"/>
    <w:rsid w:val="008138A8"/>
    <w:rsid w:val="00814281"/>
    <w:rsid w:val="008443CE"/>
    <w:rsid w:val="00887C85"/>
    <w:rsid w:val="008900BE"/>
    <w:rsid w:val="008955B7"/>
    <w:rsid w:val="008A424C"/>
    <w:rsid w:val="008B63F7"/>
    <w:rsid w:val="008C34AF"/>
    <w:rsid w:val="008F0E19"/>
    <w:rsid w:val="008F38FE"/>
    <w:rsid w:val="008F53F4"/>
    <w:rsid w:val="00904B99"/>
    <w:rsid w:val="00913996"/>
    <w:rsid w:val="00924891"/>
    <w:rsid w:val="00925A0A"/>
    <w:rsid w:val="0093036F"/>
    <w:rsid w:val="0095079C"/>
    <w:rsid w:val="00952201"/>
    <w:rsid w:val="00956072"/>
    <w:rsid w:val="0095728A"/>
    <w:rsid w:val="00970903"/>
    <w:rsid w:val="009712EB"/>
    <w:rsid w:val="00980DC5"/>
    <w:rsid w:val="0098629A"/>
    <w:rsid w:val="009A4C1F"/>
    <w:rsid w:val="009A4F5E"/>
    <w:rsid w:val="009A73B3"/>
    <w:rsid w:val="009C0961"/>
    <w:rsid w:val="009D2C94"/>
    <w:rsid w:val="009D7258"/>
    <w:rsid w:val="009D7615"/>
    <w:rsid w:val="009E7FD3"/>
    <w:rsid w:val="009F04E8"/>
    <w:rsid w:val="00A11301"/>
    <w:rsid w:val="00A15A25"/>
    <w:rsid w:val="00A25598"/>
    <w:rsid w:val="00A437BF"/>
    <w:rsid w:val="00A5033F"/>
    <w:rsid w:val="00A52113"/>
    <w:rsid w:val="00A62049"/>
    <w:rsid w:val="00A731C2"/>
    <w:rsid w:val="00A80E3F"/>
    <w:rsid w:val="00A9117A"/>
    <w:rsid w:val="00A91613"/>
    <w:rsid w:val="00A91D5B"/>
    <w:rsid w:val="00AA50D2"/>
    <w:rsid w:val="00AA5835"/>
    <w:rsid w:val="00AA711B"/>
    <w:rsid w:val="00AB0B68"/>
    <w:rsid w:val="00AF1707"/>
    <w:rsid w:val="00B07CB3"/>
    <w:rsid w:val="00B115A5"/>
    <w:rsid w:val="00B143BB"/>
    <w:rsid w:val="00B231CA"/>
    <w:rsid w:val="00B3033D"/>
    <w:rsid w:val="00B3138D"/>
    <w:rsid w:val="00B50A5A"/>
    <w:rsid w:val="00B52DDB"/>
    <w:rsid w:val="00B611F7"/>
    <w:rsid w:val="00B7676A"/>
    <w:rsid w:val="00BA3383"/>
    <w:rsid w:val="00BA5C1E"/>
    <w:rsid w:val="00BA7F38"/>
    <w:rsid w:val="00BD5FA7"/>
    <w:rsid w:val="00BD6496"/>
    <w:rsid w:val="00C01554"/>
    <w:rsid w:val="00C63802"/>
    <w:rsid w:val="00C77B7F"/>
    <w:rsid w:val="00C841BA"/>
    <w:rsid w:val="00C938D8"/>
    <w:rsid w:val="00CA375F"/>
    <w:rsid w:val="00CE6BDB"/>
    <w:rsid w:val="00D012AD"/>
    <w:rsid w:val="00D05853"/>
    <w:rsid w:val="00D1511B"/>
    <w:rsid w:val="00D162A7"/>
    <w:rsid w:val="00D22A45"/>
    <w:rsid w:val="00D51BAC"/>
    <w:rsid w:val="00D52CDD"/>
    <w:rsid w:val="00D552A5"/>
    <w:rsid w:val="00D62456"/>
    <w:rsid w:val="00D62C41"/>
    <w:rsid w:val="00D665E8"/>
    <w:rsid w:val="00D6684A"/>
    <w:rsid w:val="00D77062"/>
    <w:rsid w:val="00D96004"/>
    <w:rsid w:val="00D96594"/>
    <w:rsid w:val="00DB26C5"/>
    <w:rsid w:val="00DD14CA"/>
    <w:rsid w:val="00DD74AE"/>
    <w:rsid w:val="00DD7C23"/>
    <w:rsid w:val="00DD7DD5"/>
    <w:rsid w:val="00DE1CD4"/>
    <w:rsid w:val="00DE5073"/>
    <w:rsid w:val="00DE7330"/>
    <w:rsid w:val="00DF4AD5"/>
    <w:rsid w:val="00E03C5C"/>
    <w:rsid w:val="00E073C2"/>
    <w:rsid w:val="00E14F0F"/>
    <w:rsid w:val="00E3449B"/>
    <w:rsid w:val="00E3623D"/>
    <w:rsid w:val="00E36863"/>
    <w:rsid w:val="00E50878"/>
    <w:rsid w:val="00E605C5"/>
    <w:rsid w:val="00E67636"/>
    <w:rsid w:val="00E74BC0"/>
    <w:rsid w:val="00E76A9D"/>
    <w:rsid w:val="00E91A44"/>
    <w:rsid w:val="00E93764"/>
    <w:rsid w:val="00EB707B"/>
    <w:rsid w:val="00EC201D"/>
    <w:rsid w:val="00EC37A3"/>
    <w:rsid w:val="00EC618B"/>
    <w:rsid w:val="00ED602B"/>
    <w:rsid w:val="00EE3BB3"/>
    <w:rsid w:val="00EF238A"/>
    <w:rsid w:val="00EF24E8"/>
    <w:rsid w:val="00EF6BEE"/>
    <w:rsid w:val="00F07E18"/>
    <w:rsid w:val="00F2581B"/>
    <w:rsid w:val="00F4102C"/>
    <w:rsid w:val="00F453D2"/>
    <w:rsid w:val="00F51080"/>
    <w:rsid w:val="00F51B34"/>
    <w:rsid w:val="00F6102B"/>
    <w:rsid w:val="00F66C5C"/>
    <w:rsid w:val="00F77F4F"/>
    <w:rsid w:val="00F80930"/>
    <w:rsid w:val="00F813AD"/>
    <w:rsid w:val="00F81C46"/>
    <w:rsid w:val="00FB51B7"/>
    <w:rsid w:val="00FE1BA2"/>
    <w:rsid w:val="00FE40E8"/>
    <w:rsid w:val="00FF57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3E53"/>
  <w15:chartTrackingRefBased/>
  <w15:docId w15:val="{525F3721-214B-43D9-ADA1-B0FF294A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8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6A5C"/>
    <w:pPr>
      <w:ind w:left="720"/>
      <w:contextualSpacing/>
    </w:pPr>
  </w:style>
  <w:style w:type="paragraph" w:styleId="Textonotapie">
    <w:name w:val="footnote text"/>
    <w:basedOn w:val="Normal"/>
    <w:link w:val="TextonotapieCar"/>
    <w:uiPriority w:val="99"/>
    <w:semiHidden/>
    <w:unhideWhenUsed/>
    <w:rsid w:val="005878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87801"/>
    <w:rPr>
      <w:sz w:val="20"/>
      <w:szCs w:val="20"/>
    </w:rPr>
  </w:style>
  <w:style w:type="character" w:styleId="Refdenotaalpie">
    <w:name w:val="footnote reference"/>
    <w:basedOn w:val="Fuentedeprrafopredeter"/>
    <w:uiPriority w:val="99"/>
    <w:semiHidden/>
    <w:unhideWhenUsed/>
    <w:rsid w:val="00587801"/>
    <w:rPr>
      <w:vertAlign w:val="superscript"/>
    </w:rPr>
  </w:style>
  <w:style w:type="paragraph" w:styleId="Textoindependiente2">
    <w:name w:val="Body Text 2"/>
    <w:basedOn w:val="Normal"/>
    <w:link w:val="Textoindependiente2Car"/>
    <w:uiPriority w:val="99"/>
    <w:unhideWhenUsed/>
    <w:rsid w:val="00EE3BB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rsid w:val="00EE3BB3"/>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385A3A"/>
    <w:rPr>
      <w:sz w:val="16"/>
      <w:szCs w:val="16"/>
    </w:rPr>
  </w:style>
  <w:style w:type="paragraph" w:styleId="Textocomentario">
    <w:name w:val="annotation text"/>
    <w:basedOn w:val="Normal"/>
    <w:link w:val="TextocomentarioCar"/>
    <w:uiPriority w:val="99"/>
    <w:semiHidden/>
    <w:unhideWhenUsed/>
    <w:rsid w:val="00385A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5A3A"/>
    <w:rPr>
      <w:sz w:val="20"/>
      <w:szCs w:val="20"/>
    </w:rPr>
  </w:style>
  <w:style w:type="paragraph" w:styleId="Asuntodelcomentario">
    <w:name w:val="annotation subject"/>
    <w:basedOn w:val="Textocomentario"/>
    <w:next w:val="Textocomentario"/>
    <w:link w:val="AsuntodelcomentarioCar"/>
    <w:uiPriority w:val="99"/>
    <w:semiHidden/>
    <w:unhideWhenUsed/>
    <w:rsid w:val="00385A3A"/>
    <w:rPr>
      <w:b/>
      <w:bCs/>
    </w:rPr>
  </w:style>
  <w:style w:type="character" w:customStyle="1" w:styleId="AsuntodelcomentarioCar">
    <w:name w:val="Asunto del comentario Car"/>
    <w:basedOn w:val="TextocomentarioCar"/>
    <w:link w:val="Asuntodelcomentario"/>
    <w:uiPriority w:val="99"/>
    <w:semiHidden/>
    <w:rsid w:val="00385A3A"/>
    <w:rPr>
      <w:b/>
      <w:bCs/>
      <w:sz w:val="20"/>
      <w:szCs w:val="20"/>
    </w:rPr>
  </w:style>
  <w:style w:type="paragraph" w:styleId="Encabezado">
    <w:name w:val="header"/>
    <w:basedOn w:val="Normal"/>
    <w:link w:val="EncabezadoCar"/>
    <w:uiPriority w:val="99"/>
    <w:unhideWhenUsed/>
    <w:rsid w:val="001A7B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7B20"/>
  </w:style>
  <w:style w:type="paragraph" w:styleId="Piedepgina">
    <w:name w:val="footer"/>
    <w:basedOn w:val="Normal"/>
    <w:link w:val="PiedepginaCar"/>
    <w:uiPriority w:val="99"/>
    <w:unhideWhenUsed/>
    <w:rsid w:val="001A7B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7B20"/>
  </w:style>
  <w:style w:type="paragraph" w:styleId="Textodeglobo">
    <w:name w:val="Balloon Text"/>
    <w:basedOn w:val="Normal"/>
    <w:link w:val="TextodegloboCar"/>
    <w:uiPriority w:val="99"/>
    <w:semiHidden/>
    <w:unhideWhenUsed/>
    <w:rsid w:val="00DB26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6C5"/>
    <w:rPr>
      <w:rFonts w:ascii="Segoe UI" w:hAnsi="Segoe UI" w:cs="Segoe UI"/>
      <w:sz w:val="18"/>
      <w:szCs w:val="18"/>
    </w:rPr>
  </w:style>
  <w:style w:type="table" w:styleId="Tablaconcuadrcula">
    <w:name w:val="Table Grid"/>
    <w:basedOn w:val="Tablanormal"/>
    <w:uiPriority w:val="39"/>
    <w:rsid w:val="000F3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82630">
      <w:bodyDiv w:val="1"/>
      <w:marLeft w:val="0"/>
      <w:marRight w:val="0"/>
      <w:marTop w:val="0"/>
      <w:marBottom w:val="0"/>
      <w:divBdr>
        <w:top w:val="none" w:sz="0" w:space="0" w:color="auto"/>
        <w:left w:val="none" w:sz="0" w:space="0" w:color="auto"/>
        <w:bottom w:val="none" w:sz="0" w:space="0" w:color="auto"/>
        <w:right w:val="none" w:sz="0" w:space="0" w:color="auto"/>
      </w:divBdr>
    </w:div>
    <w:div w:id="5746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65898-B4A7-47D6-AFBC-09A0A7F6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7955</Words>
  <Characters>43758</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Valdeleon Pabon</dc:creator>
  <cp:keywords/>
  <dc:description/>
  <cp:lastModifiedBy>Ingrid Vanessa Gonzalez Guerra</cp:lastModifiedBy>
  <cp:revision>3</cp:revision>
  <cp:lastPrinted>2022-12-07T16:02:00Z</cp:lastPrinted>
  <dcterms:created xsi:type="dcterms:W3CDTF">2022-12-07T20:03:00Z</dcterms:created>
  <dcterms:modified xsi:type="dcterms:W3CDTF">2022-12-07T20:03:00Z</dcterms:modified>
</cp:coreProperties>
</file>